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8" w:rsidRDefault="004D1BB8" w:rsidP="004D1BB8">
      <w:pPr>
        <w:pStyle w:val="1"/>
      </w:pPr>
      <w:bookmarkStart w:id="0" w:name="sub_1040"/>
      <w:r>
        <w:t>Паспорт подпрограммы N 4</w:t>
      </w:r>
      <w:r>
        <w:br/>
        <w:t>"Воспитание и дополнительное образование"</w:t>
      </w:r>
    </w:p>
    <w:bookmarkEnd w:id="0"/>
    <w:p w:rsidR="004D1BB8" w:rsidRDefault="004D1BB8" w:rsidP="004D1B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377"/>
      </w:tblGrid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Воспитание и дополнительное образование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Министерство спорта Республики Саха (Якутия);</w:t>
            </w:r>
          </w:p>
          <w:p w:rsidR="004D1BB8" w:rsidRDefault="004D1BB8" w:rsidP="00803E54">
            <w:pPr>
              <w:pStyle w:val="a3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Министерство культуры и духовного развития Республики Саха (Якутия);</w:t>
            </w:r>
          </w:p>
          <w:p w:rsidR="004D1BB8" w:rsidRDefault="004D1BB8" w:rsidP="00803E54">
            <w:pPr>
              <w:pStyle w:val="a3"/>
            </w:pPr>
            <w:r>
              <w:t>Министерство спорта Республики Саха (Якутия);</w:t>
            </w:r>
          </w:p>
          <w:p w:rsidR="004D1BB8" w:rsidRDefault="004D1BB8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(Якутия);</w:t>
            </w:r>
          </w:p>
          <w:p w:rsidR="004D1BB8" w:rsidRDefault="004D1BB8" w:rsidP="00803E54">
            <w:pPr>
              <w:pStyle w:val="a3"/>
            </w:pPr>
            <w:r>
              <w:t>организации в сфере образования, науки, культуры, спорта, некоммерческого сектора и предприятия реального сектора экономики республики;</w:t>
            </w:r>
          </w:p>
          <w:p w:rsidR="004D1BB8" w:rsidRDefault="004D1BB8" w:rsidP="00803E54">
            <w:pPr>
              <w:pStyle w:val="a3"/>
            </w:pPr>
            <w:r>
              <w:t>республиканские общественные организации, в том числе родительские ассоциации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1. Обеспечение доступного дополнительного образования детей.</w:t>
            </w:r>
          </w:p>
          <w:p w:rsidR="004D1BB8" w:rsidRDefault="004D1BB8" w:rsidP="00803E54">
            <w:pPr>
              <w:pStyle w:val="a3"/>
            </w:pPr>
            <w:r>
              <w:t>2. Обновление содержания и технологий воспитания.</w:t>
            </w:r>
          </w:p>
          <w:p w:rsidR="004D1BB8" w:rsidRDefault="004D1BB8" w:rsidP="00803E54">
            <w:pPr>
              <w:pStyle w:val="a3"/>
            </w:pPr>
            <w:r>
              <w:t xml:space="preserve">3.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ответственного отношения к сохранению и укреплению здоровья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 xml:space="preserve">1. </w:t>
            </w:r>
            <w:proofErr w:type="gramStart"/>
            <w:r>
              <w:t>Доля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республики, в 2018 году - 20%, в 2019 году - 40%, в 2020 году - 50%, в 2021 году - 60%, в 2022 году - 70%.</w:t>
            </w:r>
            <w:proofErr w:type="gramEnd"/>
          </w:p>
          <w:p w:rsidR="004D1BB8" w:rsidRDefault="004D1BB8" w:rsidP="00803E54">
            <w:pPr>
              <w:pStyle w:val="a3"/>
            </w:pPr>
            <w:r>
              <w:t>2. Доля детей в возрасте от 5 до 18 лет, обучающихся по дополнительным общеобразовательным программам, в общей численности детей этого возраста, в 2018 году - 75%, в 2019 году - 75%, в 2020 году - 77%, в 2021 году - 78%, в 2022 году - 80%.</w:t>
            </w:r>
          </w:p>
          <w:p w:rsidR="004D1BB8" w:rsidRDefault="004D1BB8" w:rsidP="00803E54">
            <w:pPr>
              <w:pStyle w:val="a3"/>
            </w:pPr>
            <w:r>
              <w:lastRenderedPageBreak/>
              <w:t>3. Доля обучающихся 1-11 классов общеобразовательных организаций, задействованных в детских общественных объединениях (Детское движение Республики Саха (Якутия) "</w:t>
            </w:r>
            <w:proofErr w:type="spellStart"/>
            <w:r>
              <w:t>Дьулуур</w:t>
            </w:r>
            <w:proofErr w:type="spellEnd"/>
            <w:r>
              <w:t xml:space="preserve">", Российское движение школьников, </w:t>
            </w:r>
            <w:proofErr w:type="spellStart"/>
            <w:r>
              <w:t>Юнармия</w:t>
            </w:r>
            <w:proofErr w:type="spellEnd"/>
            <w:r>
              <w:t xml:space="preserve"> и др.), в общей численности обучающихся 1-11 классов, в 2018 году - 63%, в 2019 году - 65%, в 2020 году - 70%, в 2021 году - 75%, в 2022 году - 80%.</w:t>
            </w:r>
          </w:p>
          <w:p w:rsidR="004D1BB8" w:rsidRDefault="004D1BB8" w:rsidP="00803E54">
            <w:pPr>
              <w:pStyle w:val="a3"/>
            </w:pPr>
            <w:r>
              <w:t>4. Число образовательных организаций, оснащенных спортивным инвентарем и спортивным оборудованием, в 2018 году - 10, в 2019 году - 10, в 2020 году - 10, в 2021 году - 10, в 2022 году - 10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2018 - 2022 годы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Объемы финансового обеспечения подпрограммы - 2 380 944 тыс. рублей, в том числе:</w:t>
            </w:r>
          </w:p>
          <w:p w:rsidR="004D1BB8" w:rsidRDefault="004D1BB8" w:rsidP="00803E54">
            <w:pPr>
              <w:pStyle w:val="a3"/>
            </w:pPr>
            <w:r>
              <w:t>2018 год - 491 928 тыс. руб.;</w:t>
            </w:r>
          </w:p>
          <w:p w:rsidR="004D1BB8" w:rsidRDefault="004D1BB8" w:rsidP="00803E54">
            <w:pPr>
              <w:pStyle w:val="a3"/>
            </w:pPr>
            <w:r>
              <w:t>2019 год - 473 254 тыс. руб.;</w:t>
            </w:r>
          </w:p>
          <w:p w:rsidR="004D1BB8" w:rsidRDefault="004D1BB8" w:rsidP="00803E54">
            <w:pPr>
              <w:pStyle w:val="a3"/>
            </w:pPr>
            <w:r>
              <w:t>2020 год - 473 254 тыс. руб.;</w:t>
            </w:r>
          </w:p>
          <w:p w:rsidR="004D1BB8" w:rsidRDefault="004D1BB8" w:rsidP="00803E54">
            <w:pPr>
              <w:pStyle w:val="a3"/>
            </w:pPr>
            <w:r>
              <w:t>2021 год - 471 254 тыс. руб.;</w:t>
            </w:r>
          </w:p>
          <w:p w:rsidR="004D1BB8" w:rsidRDefault="004D1BB8" w:rsidP="00803E54">
            <w:pPr>
              <w:pStyle w:val="a3"/>
            </w:pPr>
            <w:r>
              <w:t>2022 год - 471 254 тыс. руб.;</w:t>
            </w:r>
          </w:p>
          <w:p w:rsidR="004D1BB8" w:rsidRDefault="004D1BB8" w:rsidP="00803E54">
            <w:pPr>
              <w:pStyle w:val="a3"/>
            </w:pPr>
            <w:r>
              <w:t>а) за счет средств государственного бюджета Республики Саха (Якутия) - 1 894 485 тыс. рублей, в том числе по годам:</w:t>
            </w:r>
          </w:p>
          <w:p w:rsidR="004D1BB8" w:rsidRDefault="004D1BB8" w:rsidP="00803E54">
            <w:pPr>
              <w:pStyle w:val="a3"/>
            </w:pPr>
            <w:r>
              <w:t>2018 год - 372 349 тыс. руб.;</w:t>
            </w:r>
          </w:p>
          <w:p w:rsidR="004D1BB8" w:rsidRDefault="004D1BB8" w:rsidP="00803E54">
            <w:pPr>
              <w:pStyle w:val="a3"/>
            </w:pPr>
            <w:r>
              <w:t>2019 год - 381 534 тыс. руб.;</w:t>
            </w:r>
          </w:p>
          <w:p w:rsidR="004D1BB8" w:rsidRDefault="004D1BB8" w:rsidP="00803E54">
            <w:pPr>
              <w:pStyle w:val="a3"/>
            </w:pPr>
            <w:r>
              <w:t>2020 год - 381 534 тыс. руб.;</w:t>
            </w:r>
          </w:p>
          <w:p w:rsidR="004D1BB8" w:rsidRDefault="004D1BB8" w:rsidP="00803E54">
            <w:pPr>
              <w:pStyle w:val="a3"/>
            </w:pPr>
            <w:r>
              <w:t>2021 год - 379 534 тыс. руб.;</w:t>
            </w:r>
          </w:p>
          <w:p w:rsidR="004D1BB8" w:rsidRDefault="004D1BB8" w:rsidP="00803E54">
            <w:pPr>
              <w:pStyle w:val="a3"/>
            </w:pPr>
            <w:r>
              <w:t>2022 год - 379 534 тыс. руб.;</w:t>
            </w:r>
          </w:p>
          <w:p w:rsidR="004D1BB8" w:rsidRDefault="004D1BB8" w:rsidP="00803E54">
            <w:pPr>
              <w:pStyle w:val="a3"/>
            </w:pPr>
            <w:r>
              <w:t>б) за счет средств федерального бюджета - 27 859 тыс. рублей, в том числе по годам:</w:t>
            </w:r>
          </w:p>
          <w:p w:rsidR="004D1BB8" w:rsidRDefault="004D1BB8" w:rsidP="00803E54">
            <w:pPr>
              <w:pStyle w:val="a3"/>
            </w:pPr>
            <w:r>
              <w:t>2018 год - 27 859 тыс. руб.;</w:t>
            </w:r>
          </w:p>
          <w:p w:rsidR="004D1BB8" w:rsidRDefault="004D1BB8" w:rsidP="00803E54">
            <w:pPr>
              <w:pStyle w:val="a3"/>
            </w:pPr>
            <w:r>
              <w:t>2019 год - 0 руб.;</w:t>
            </w:r>
          </w:p>
          <w:p w:rsidR="004D1BB8" w:rsidRDefault="004D1BB8" w:rsidP="00803E54">
            <w:pPr>
              <w:pStyle w:val="a3"/>
            </w:pPr>
            <w:r>
              <w:t>2020 год - 0 руб.;</w:t>
            </w:r>
          </w:p>
          <w:p w:rsidR="004D1BB8" w:rsidRDefault="004D1BB8" w:rsidP="00803E54">
            <w:pPr>
              <w:pStyle w:val="a3"/>
            </w:pPr>
            <w:r>
              <w:t>2021 год - 0 руб.;</w:t>
            </w:r>
          </w:p>
          <w:p w:rsidR="004D1BB8" w:rsidRDefault="004D1BB8" w:rsidP="00803E54">
            <w:pPr>
              <w:pStyle w:val="a3"/>
            </w:pPr>
            <w:r>
              <w:t>2022 год - 0 руб.;</w:t>
            </w:r>
          </w:p>
          <w:p w:rsidR="004D1BB8" w:rsidRDefault="004D1BB8" w:rsidP="00803E54">
            <w:pPr>
              <w:pStyle w:val="a3"/>
            </w:pPr>
            <w:r>
              <w:t>в) за счет внебюджетных средств - 458 600 тыс. рублей, в том числе по годам:</w:t>
            </w:r>
          </w:p>
          <w:p w:rsidR="004D1BB8" w:rsidRDefault="004D1BB8" w:rsidP="00803E54">
            <w:pPr>
              <w:pStyle w:val="a3"/>
            </w:pPr>
            <w:r>
              <w:t>2018 год - 91 720 тыс. руб.;</w:t>
            </w:r>
          </w:p>
          <w:p w:rsidR="004D1BB8" w:rsidRDefault="004D1BB8" w:rsidP="00803E54">
            <w:pPr>
              <w:pStyle w:val="a3"/>
            </w:pPr>
            <w:r>
              <w:t>2019 год - 91 720 тыс. руб.;</w:t>
            </w:r>
          </w:p>
          <w:p w:rsidR="004D1BB8" w:rsidRDefault="004D1BB8" w:rsidP="00803E54">
            <w:pPr>
              <w:pStyle w:val="a3"/>
            </w:pPr>
            <w:r>
              <w:t>2020 год - 91 720 тыс. руб.;</w:t>
            </w:r>
          </w:p>
          <w:p w:rsidR="004D1BB8" w:rsidRDefault="004D1BB8" w:rsidP="00803E54">
            <w:pPr>
              <w:pStyle w:val="a3"/>
            </w:pPr>
            <w:r>
              <w:t>2021 год - 91 720 тыс. руб.;</w:t>
            </w:r>
          </w:p>
          <w:p w:rsidR="004D1BB8" w:rsidRDefault="004D1BB8" w:rsidP="00803E54">
            <w:pPr>
              <w:pStyle w:val="a3"/>
            </w:pPr>
            <w:r>
              <w:t>2022 год - 91 720 тыс. руб.</w:t>
            </w:r>
          </w:p>
        </w:tc>
      </w:tr>
      <w:tr w:rsidR="004D1BB8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Ожидаемые результаты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B8" w:rsidRDefault="004D1BB8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4D1BB8" w:rsidRDefault="004D1BB8" w:rsidP="00803E54">
            <w:pPr>
              <w:pStyle w:val="a3"/>
            </w:pPr>
            <w:r>
              <w:t>1. Увеличение доли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республики, до 70%.</w:t>
            </w:r>
          </w:p>
          <w:p w:rsidR="004D1BB8" w:rsidRDefault="004D1BB8" w:rsidP="00803E54">
            <w:pPr>
              <w:pStyle w:val="a3"/>
            </w:pPr>
            <w:r>
              <w:t>2. Увеличение доли детей в возрасте от 5 до 18 лет, обучающихся по дополнительным общеобразовательным программам, в общей численности детей этого возраста, до 80%.</w:t>
            </w:r>
          </w:p>
          <w:p w:rsidR="004D1BB8" w:rsidRDefault="004D1BB8" w:rsidP="00803E54">
            <w:pPr>
              <w:pStyle w:val="a3"/>
            </w:pPr>
            <w:r>
              <w:t>3. Увеличение доли обучающихся 1-11 классов общеобразовательных организаций, задействованных в детских общественных объединениях (Детское движение Республики Саха (Якутия) "</w:t>
            </w:r>
            <w:proofErr w:type="spellStart"/>
            <w:r>
              <w:t>Дьулуур</w:t>
            </w:r>
            <w:proofErr w:type="spellEnd"/>
            <w:r>
              <w:t xml:space="preserve">", Российское движение школьников, </w:t>
            </w:r>
            <w:proofErr w:type="spellStart"/>
            <w:r>
              <w:t>Юнармия</w:t>
            </w:r>
            <w:proofErr w:type="spellEnd"/>
            <w:r>
              <w:t xml:space="preserve"> и др.), от общего числа обучающихся 1-11 классов, до 80%.</w:t>
            </w:r>
          </w:p>
          <w:p w:rsidR="004D1BB8" w:rsidRDefault="004D1BB8" w:rsidP="00803E54">
            <w:pPr>
              <w:pStyle w:val="a3"/>
            </w:pPr>
            <w:r>
              <w:t>4. Увеличение числа образовательных организаций, оснащенных спортивным инвентарем и спортивным оборудованием, до 50</w:t>
            </w:r>
          </w:p>
        </w:tc>
      </w:tr>
    </w:tbl>
    <w:p w:rsidR="008E387D" w:rsidRDefault="008E387D"/>
    <w:sectPr w:rsidR="008E387D" w:rsidSect="004D1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D1BB8"/>
    <w:rsid w:val="004D1BB8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B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D1BB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2019-02-12T00:45:00Z</dcterms:created>
  <dcterms:modified xsi:type="dcterms:W3CDTF">2019-02-12T00:46:00Z</dcterms:modified>
</cp:coreProperties>
</file>