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07" w:rsidRDefault="00AA1707" w:rsidP="00AA1707">
      <w:pPr>
        <w:pStyle w:val="1"/>
      </w:pPr>
      <w:r>
        <w:t>Паспорт подпрограммы N 2</w:t>
      </w:r>
      <w:r>
        <w:br/>
        <w:t>государственной программы Республики Саха (Якутия)</w:t>
      </w:r>
    </w:p>
    <w:p w:rsidR="00AA1707" w:rsidRDefault="00AA1707" w:rsidP="00AA17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7980"/>
      </w:tblGrid>
      <w:tr w:rsidR="00AA1707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 w:rsidP="001A1E95">
            <w:pPr>
              <w:pStyle w:val="a3"/>
            </w:pPr>
            <w:r>
              <w:t>Наименование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707" w:rsidRDefault="00AA1707" w:rsidP="001A1E95">
            <w:pPr>
              <w:pStyle w:val="a3"/>
            </w:pPr>
            <w:r>
              <w:t>Развитие социального обслуживания населения</w:t>
            </w:r>
          </w:p>
        </w:tc>
      </w:tr>
      <w:tr w:rsidR="00AA1707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 w:rsidP="001A1E95">
            <w:pPr>
              <w:pStyle w:val="a3"/>
            </w:pPr>
            <w:r>
              <w:t>Ответственный исполнитель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707" w:rsidRDefault="00AA1707" w:rsidP="001A1E95">
            <w:pPr>
              <w:pStyle w:val="a3"/>
            </w:pPr>
            <w:r>
              <w:t>Министерство труда и социального развития Республики Саха (Якутия)</w:t>
            </w:r>
          </w:p>
        </w:tc>
      </w:tr>
      <w:tr w:rsidR="00AA1707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 w:rsidP="001A1E95">
            <w:pPr>
              <w:pStyle w:val="a3"/>
            </w:pPr>
            <w:r>
              <w:t>Участник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707" w:rsidRDefault="00AA1707" w:rsidP="001A1E95">
            <w:pPr>
              <w:pStyle w:val="a3"/>
            </w:pPr>
            <w:r>
              <w:t>Министерство архитектуры и строительного комплекса Республики Саха (Якутия); органы местного самоуправления</w:t>
            </w:r>
          </w:p>
        </w:tc>
      </w:tr>
      <w:tr w:rsidR="00AA1707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 w:rsidP="001A1E95">
            <w:pPr>
              <w:pStyle w:val="a3"/>
            </w:pPr>
            <w:r>
              <w:t>Цель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707" w:rsidRDefault="00AA1707" w:rsidP="001A1E95">
            <w:pPr>
              <w:pStyle w:val="a3"/>
            </w:pPr>
            <w:r>
              <w:t>Повышение качества жизни граждан старшего возраста, инвалидов, включая детей-инвалидов, семей и детей, в том числе детей-сирот и детей, оставшихся без попечения родителей, на основе развития сети учреждений социального обслуживания</w:t>
            </w:r>
          </w:p>
        </w:tc>
      </w:tr>
      <w:tr w:rsidR="00AA1707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 w:rsidP="001A1E95">
            <w:pPr>
              <w:pStyle w:val="a3"/>
            </w:pPr>
            <w:r>
              <w:t>Задачи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707" w:rsidRDefault="00AA1707" w:rsidP="001A1E95">
            <w:pPr>
              <w:pStyle w:val="a3"/>
            </w:pPr>
            <w:r>
              <w:t>Социальное обслуживание граждан;</w:t>
            </w:r>
          </w:p>
          <w:p w:rsidR="00AA1707" w:rsidRDefault="00AA1707" w:rsidP="001A1E95">
            <w:pPr>
              <w:pStyle w:val="a3"/>
            </w:pPr>
            <w:r>
              <w:t>обеспечение комплексной безопасности, повышение энергетической эффективности и укрепление материально-технической базы учреждений социального обслуживания населения;</w:t>
            </w:r>
          </w:p>
          <w:p w:rsidR="00AA1707" w:rsidRDefault="00AA1707" w:rsidP="001A1E95">
            <w:pPr>
              <w:pStyle w:val="a3"/>
            </w:pPr>
            <w:r>
              <w:t>осуществление деятельности по опеке и попечительству;</w:t>
            </w:r>
          </w:p>
          <w:p w:rsidR="00AA1707" w:rsidRDefault="00AA1707" w:rsidP="001A1E95">
            <w:pPr>
              <w:pStyle w:val="a3"/>
            </w:pPr>
            <w:r>
              <w:t>поддержка социально ориентированных некоммерческих организаций</w:t>
            </w:r>
          </w:p>
        </w:tc>
      </w:tr>
      <w:tr w:rsidR="00AA1707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 w:rsidP="001A1E95">
            <w:pPr>
              <w:pStyle w:val="a3"/>
            </w:pPr>
            <w:r>
              <w:t>Целевые показатели (индикаторы)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707" w:rsidRDefault="00AA1707" w:rsidP="001A1E95">
            <w:pPr>
              <w:pStyle w:val="a3"/>
            </w:pPr>
            <w: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населения:</w:t>
            </w:r>
          </w:p>
          <w:p w:rsidR="00AA1707" w:rsidRDefault="00AA1707" w:rsidP="001A1E95">
            <w:pPr>
              <w:pStyle w:val="a3"/>
            </w:pPr>
            <w:r>
              <w:t>2018 год - 100%;</w:t>
            </w:r>
          </w:p>
          <w:p w:rsidR="00AA1707" w:rsidRDefault="00AA1707" w:rsidP="001A1E95">
            <w:pPr>
              <w:pStyle w:val="a3"/>
            </w:pPr>
            <w:r>
              <w:t>2019 год - 100%;</w:t>
            </w:r>
          </w:p>
          <w:p w:rsidR="00AA1707" w:rsidRDefault="00AA1707" w:rsidP="001A1E95">
            <w:pPr>
              <w:pStyle w:val="a3"/>
            </w:pPr>
            <w:r>
              <w:t>2020 год - 100%;</w:t>
            </w:r>
          </w:p>
          <w:p w:rsidR="00AA1707" w:rsidRDefault="00AA1707" w:rsidP="001A1E95">
            <w:pPr>
              <w:pStyle w:val="a3"/>
            </w:pPr>
            <w:r>
              <w:t>2021 год - 100%;</w:t>
            </w:r>
          </w:p>
          <w:p w:rsidR="00AA1707" w:rsidRDefault="00AA1707" w:rsidP="001A1E95">
            <w:pPr>
              <w:pStyle w:val="a3"/>
            </w:pPr>
            <w:r>
              <w:lastRenderedPageBreak/>
              <w:t>2022 год - 100%;</w:t>
            </w:r>
          </w:p>
          <w:p w:rsidR="00AA1707" w:rsidRDefault="00AA1707" w:rsidP="001A1E95">
            <w:pPr>
              <w:pStyle w:val="a3"/>
            </w:pPr>
            <w:r>
              <w:t>удельный вес граждан пожилого возраста и инвалидов (взрослых и детей), получивших услуги в негосударственных и немуниципальных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собственности:</w:t>
            </w:r>
          </w:p>
          <w:p w:rsidR="00AA1707" w:rsidRDefault="00AA1707" w:rsidP="001A1E95">
            <w:pPr>
              <w:pStyle w:val="a3"/>
            </w:pPr>
            <w:r>
              <w:t>2018 год - 3%;</w:t>
            </w:r>
          </w:p>
          <w:p w:rsidR="00AA1707" w:rsidRDefault="00AA1707" w:rsidP="001A1E95">
            <w:pPr>
              <w:pStyle w:val="a3"/>
            </w:pPr>
            <w:r>
              <w:t>2019 год - 4%;</w:t>
            </w:r>
          </w:p>
          <w:p w:rsidR="00AA1707" w:rsidRDefault="00AA1707" w:rsidP="001A1E95">
            <w:pPr>
              <w:pStyle w:val="a3"/>
            </w:pPr>
            <w:r>
              <w:t>2020 год - 5%;</w:t>
            </w:r>
          </w:p>
          <w:p w:rsidR="00AA1707" w:rsidRDefault="00AA1707" w:rsidP="001A1E95">
            <w:pPr>
              <w:pStyle w:val="a3"/>
            </w:pPr>
            <w:r>
              <w:t>2021 год - 6%;</w:t>
            </w:r>
          </w:p>
          <w:p w:rsidR="00AA1707" w:rsidRDefault="00AA1707" w:rsidP="001A1E95">
            <w:pPr>
              <w:pStyle w:val="a3"/>
            </w:pPr>
            <w:r>
              <w:t>2022 год - 7%</w:t>
            </w:r>
          </w:p>
        </w:tc>
      </w:tr>
      <w:tr w:rsidR="00AA1707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 w:rsidP="001A1E95">
            <w:pPr>
              <w:pStyle w:val="a3"/>
            </w:pPr>
            <w:r>
              <w:lastRenderedPageBreak/>
              <w:t>Сроки реализации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707" w:rsidRDefault="00AA1707" w:rsidP="001A1E95">
            <w:pPr>
              <w:pStyle w:val="a3"/>
            </w:pPr>
            <w:r>
              <w:t>2018 - 2022 годы</w:t>
            </w:r>
          </w:p>
        </w:tc>
      </w:tr>
      <w:tr w:rsidR="00AA1707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 w:rsidP="001A1E95">
            <w:pPr>
              <w:pStyle w:val="a3"/>
            </w:pPr>
            <w:bookmarkStart w:id="0" w:name="sub_128"/>
            <w:r>
              <w:t>Объем финансового обеспечения подпрограммы</w:t>
            </w:r>
            <w:bookmarkEnd w:id="0"/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707" w:rsidRDefault="00AA1707" w:rsidP="001A1E95">
            <w:pPr>
              <w:pStyle w:val="a3"/>
            </w:pPr>
            <w:r>
              <w:t>Объемы финансового обеспечения в целом на реализацию подпрограммы 22 811 296,0 тыс. рублей, в том числе по годам:</w:t>
            </w:r>
          </w:p>
          <w:p w:rsidR="00AA1707" w:rsidRDefault="00AA1707" w:rsidP="001A1E95">
            <w:pPr>
              <w:pStyle w:val="a3"/>
            </w:pPr>
            <w:r>
              <w:t>2018 год - 5 089 529,6 тыс. руб.;</w:t>
            </w:r>
          </w:p>
          <w:p w:rsidR="00AA1707" w:rsidRDefault="00AA1707" w:rsidP="001A1E95">
            <w:pPr>
              <w:pStyle w:val="a3"/>
            </w:pPr>
            <w:r>
              <w:t>2019 год - 4 428 783,6 тыс. руб.;</w:t>
            </w:r>
          </w:p>
          <w:p w:rsidR="00AA1707" w:rsidRDefault="00AA1707" w:rsidP="001A1E95">
            <w:pPr>
              <w:pStyle w:val="a3"/>
            </w:pPr>
            <w:r>
              <w:t>2020 год - 4 436 352,6 тыс. руб.;</w:t>
            </w:r>
          </w:p>
          <w:p w:rsidR="00AA1707" w:rsidRDefault="00AA1707" w:rsidP="001A1E95">
            <w:pPr>
              <w:pStyle w:val="a3"/>
            </w:pPr>
            <w:r>
              <w:t>2021 год - 4 428 315,1 тыс. руб.;</w:t>
            </w:r>
          </w:p>
          <w:p w:rsidR="00AA1707" w:rsidRDefault="00AA1707" w:rsidP="001A1E95">
            <w:pPr>
              <w:pStyle w:val="a3"/>
            </w:pPr>
            <w:r>
              <w:t>2022 год - 4 428 315,1 тыс. руб.;</w:t>
            </w:r>
          </w:p>
          <w:p w:rsidR="00AA1707" w:rsidRDefault="00AA1707" w:rsidP="001A1E95">
            <w:pPr>
              <w:pStyle w:val="a3"/>
            </w:pPr>
            <w:r>
              <w:t>а) за счет средств государственного бюджета Республики Саха (Якутия) -20 112 312,3 тыс. рублей, в том числе по годам:</w:t>
            </w:r>
          </w:p>
          <w:p w:rsidR="00AA1707" w:rsidRDefault="00AA1707" w:rsidP="001A1E95">
            <w:pPr>
              <w:pStyle w:val="a3"/>
            </w:pPr>
            <w:r>
              <w:t>2018 год - 4 201 385,3 тыс. руб.;</w:t>
            </w:r>
          </w:p>
          <w:p w:rsidR="00AA1707" w:rsidRDefault="00AA1707" w:rsidP="001A1E95">
            <w:pPr>
              <w:pStyle w:val="a3"/>
            </w:pPr>
            <w:r>
              <w:t>2019 год - 3 989 250,5 тыс. руб.;</w:t>
            </w:r>
          </w:p>
          <w:p w:rsidR="00AA1707" w:rsidRDefault="00AA1707" w:rsidP="001A1E95">
            <w:pPr>
              <w:pStyle w:val="a3"/>
            </w:pPr>
            <w:r>
              <w:t>2020 год - 3 979 250,5 тыс. руб.;</w:t>
            </w:r>
          </w:p>
          <w:p w:rsidR="00AA1707" w:rsidRDefault="00AA1707" w:rsidP="001A1E95">
            <w:pPr>
              <w:pStyle w:val="a3"/>
            </w:pPr>
            <w:r>
              <w:t>2021 год - 3 971 213,0 тыс. руб.;</w:t>
            </w:r>
          </w:p>
          <w:p w:rsidR="00AA1707" w:rsidRDefault="00AA1707" w:rsidP="001A1E95">
            <w:pPr>
              <w:pStyle w:val="a3"/>
            </w:pPr>
            <w:r>
              <w:t>2022 год - 3 971 213,0 тыс. руб.;</w:t>
            </w:r>
          </w:p>
          <w:p w:rsidR="00AA1707" w:rsidRDefault="00AA1707" w:rsidP="001A1E95">
            <w:pPr>
              <w:pStyle w:val="a3"/>
            </w:pPr>
            <w:r>
              <w:t>б) за счет средств федерального бюджета - 132 416,9 тыс. рублей, в том числе по годам:</w:t>
            </w:r>
          </w:p>
          <w:p w:rsidR="00AA1707" w:rsidRDefault="00AA1707" w:rsidP="001A1E95">
            <w:pPr>
              <w:pStyle w:val="a3"/>
            </w:pPr>
            <w:r>
              <w:t>2018 год - 131 296,5 тыс. руб.;</w:t>
            </w:r>
          </w:p>
          <w:p w:rsidR="00AA1707" w:rsidRDefault="00AA1707" w:rsidP="001A1E95">
            <w:pPr>
              <w:pStyle w:val="a3"/>
            </w:pPr>
            <w:r>
              <w:lastRenderedPageBreak/>
              <w:t>2019 год - 280,1 тыс. руб.;</w:t>
            </w:r>
          </w:p>
          <w:p w:rsidR="00AA1707" w:rsidRDefault="00AA1707" w:rsidP="001A1E95">
            <w:pPr>
              <w:pStyle w:val="a3"/>
            </w:pPr>
            <w:r>
              <w:t>2020 год - 280,1 тыс. руб.;</w:t>
            </w:r>
          </w:p>
          <w:p w:rsidR="00AA1707" w:rsidRDefault="00AA1707" w:rsidP="001A1E95">
            <w:pPr>
              <w:pStyle w:val="a3"/>
            </w:pPr>
            <w:r>
              <w:t>2021 год - 280,1 тыс. руб.;</w:t>
            </w:r>
          </w:p>
          <w:p w:rsidR="00AA1707" w:rsidRDefault="00AA1707" w:rsidP="001A1E95">
            <w:pPr>
              <w:pStyle w:val="a3"/>
            </w:pPr>
            <w:r>
              <w:t>2022 год - 280,1 тыс. руб.;</w:t>
            </w:r>
          </w:p>
          <w:p w:rsidR="00AA1707" w:rsidRDefault="00AA1707" w:rsidP="001A1E95">
            <w:pPr>
              <w:pStyle w:val="a3"/>
            </w:pPr>
            <w:r>
              <w:t>в) за счет внебюджетных средств - 2 566 566,8 тыс. рублей, в том числе по годам:</w:t>
            </w:r>
          </w:p>
          <w:p w:rsidR="00AA1707" w:rsidRDefault="00AA1707" w:rsidP="001A1E95">
            <w:pPr>
              <w:pStyle w:val="a3"/>
            </w:pPr>
            <w:r>
              <w:t>2018 год - 756 847,8 тыс. руб.;</w:t>
            </w:r>
          </w:p>
          <w:p w:rsidR="00AA1707" w:rsidRDefault="00AA1707" w:rsidP="001A1E95">
            <w:pPr>
              <w:pStyle w:val="a3"/>
            </w:pPr>
            <w:r>
              <w:t>2019 год - 439 253,0 тыс. руб.;</w:t>
            </w:r>
          </w:p>
          <w:p w:rsidR="00AA1707" w:rsidRDefault="00AA1707" w:rsidP="001A1E95">
            <w:pPr>
              <w:pStyle w:val="a3"/>
            </w:pPr>
            <w:r>
              <w:t>2020 год - 456 822,0 тыс. руб.;</w:t>
            </w:r>
          </w:p>
          <w:p w:rsidR="00AA1707" w:rsidRDefault="00AA1707" w:rsidP="001A1E95">
            <w:pPr>
              <w:pStyle w:val="a3"/>
            </w:pPr>
            <w:r>
              <w:t>2021 год - 456 822,0 тыс. руб.;</w:t>
            </w:r>
          </w:p>
          <w:p w:rsidR="00AA1707" w:rsidRDefault="00AA1707" w:rsidP="001A1E95">
            <w:pPr>
              <w:pStyle w:val="a3"/>
            </w:pPr>
            <w:r>
              <w:t>2022 год - 456 822,0 тыс. руб.</w:t>
            </w:r>
          </w:p>
        </w:tc>
      </w:tr>
      <w:tr w:rsidR="00AA1707" w:rsidTr="001A1E9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 w:rsidP="001A1E95">
            <w:pPr>
              <w:pStyle w:val="a3"/>
            </w:pPr>
            <w:r>
              <w:lastRenderedPageBreak/>
              <w:t>Ожидаемые результаты подпрограммы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707" w:rsidRDefault="00AA1707" w:rsidP="001A1E95">
            <w:pPr>
              <w:pStyle w:val="a3"/>
            </w:pPr>
            <w: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 - 100%;</w:t>
            </w:r>
          </w:p>
          <w:p w:rsidR="00AA1707" w:rsidRDefault="00AA1707" w:rsidP="001A1E95">
            <w:pPr>
              <w:pStyle w:val="a3"/>
            </w:pPr>
            <w:r>
              <w:t>увеличение удельного веса граждан пожилого возраста и инвалидов (взрослых и детей), получивших услуги в негосударственных и немуниципальных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 - до 7%</w:t>
            </w:r>
          </w:p>
        </w:tc>
      </w:tr>
    </w:tbl>
    <w:p w:rsidR="00AA1707" w:rsidRDefault="00AA1707" w:rsidP="00AA1707"/>
    <w:p w:rsidR="00000000" w:rsidRDefault="00AA1707"/>
    <w:sectPr w:rsidR="00000000" w:rsidSect="00AA1707">
      <w:pgSz w:w="16838" w:h="11906" w:orient="landscape"/>
      <w:pgMar w:top="1701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1707"/>
    <w:rsid w:val="00AA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17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1707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AA17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</dc:creator>
  <cp:keywords/>
  <dc:description/>
  <cp:lastModifiedBy>PC-001</cp:lastModifiedBy>
  <cp:revision>2</cp:revision>
  <dcterms:created xsi:type="dcterms:W3CDTF">2019-02-12T00:48:00Z</dcterms:created>
  <dcterms:modified xsi:type="dcterms:W3CDTF">2019-02-12T00:48:00Z</dcterms:modified>
</cp:coreProperties>
</file>