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A618" w14:textId="77777777" w:rsidR="001371D9" w:rsidRDefault="001371D9" w:rsidP="001371D9">
      <w:pPr>
        <w:pStyle w:val="1"/>
      </w:pPr>
      <w:bookmarkStart w:id="0" w:name="sub_1030"/>
      <w:r>
        <w:t>Паспорт подпрограммы N 3</w:t>
      </w:r>
      <w:r>
        <w:br/>
        <w:t>"Профессиональное образование"</w:t>
      </w:r>
    </w:p>
    <w:bookmarkEnd w:id="0"/>
    <w:p w14:paraId="531BDBC2" w14:textId="77777777" w:rsidR="001371D9" w:rsidRDefault="001371D9" w:rsidP="00137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35"/>
      </w:tblGrid>
      <w:tr w:rsidR="001371D9" w14:paraId="17C743EE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0D3" w14:textId="77777777" w:rsidR="001371D9" w:rsidRDefault="001371D9" w:rsidP="00803E54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73634" w14:textId="77777777" w:rsidR="001371D9" w:rsidRDefault="001371D9" w:rsidP="00803E54">
            <w:pPr>
              <w:pStyle w:val="a4"/>
            </w:pPr>
            <w:r>
              <w:t>Профессиональное образование</w:t>
            </w:r>
          </w:p>
        </w:tc>
      </w:tr>
      <w:tr w:rsidR="001371D9" w14:paraId="7219A47E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F89" w14:textId="77777777" w:rsidR="001371D9" w:rsidRDefault="001371D9" w:rsidP="00803E54">
            <w:pPr>
              <w:pStyle w:val="a4"/>
            </w:pPr>
            <w:r>
              <w:t>Ответственный исполнитель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79EF2" w14:textId="77777777" w:rsidR="001371D9" w:rsidRDefault="001371D9" w:rsidP="00803E54">
            <w:pPr>
              <w:pStyle w:val="a4"/>
            </w:pPr>
            <w:r>
              <w:t>Министерство образования и науки Республики Саха (Якутия)</w:t>
            </w:r>
          </w:p>
        </w:tc>
      </w:tr>
      <w:tr w:rsidR="001371D9" w14:paraId="44F65ED9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C45" w14:textId="77777777" w:rsidR="001371D9" w:rsidRDefault="001371D9" w:rsidP="00803E54">
            <w:pPr>
              <w:pStyle w:val="a4"/>
            </w:pPr>
            <w:r>
              <w:t>Соисполнители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3EB5" w14:textId="77777777" w:rsidR="001371D9" w:rsidRDefault="001371D9" w:rsidP="00803E54">
            <w:pPr>
              <w:pStyle w:val="a4"/>
            </w:pPr>
            <w:r>
              <w:t>Министерство культуры и духовного развития Республики Саха (Якутия)</w:t>
            </w:r>
          </w:p>
        </w:tc>
      </w:tr>
      <w:tr w:rsidR="001371D9" w14:paraId="76037EC1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468" w14:textId="77777777" w:rsidR="001371D9" w:rsidRDefault="001371D9" w:rsidP="00803E54">
            <w:pPr>
              <w:pStyle w:val="a4"/>
            </w:pPr>
            <w:r>
              <w:t>Участники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730FF" w14:textId="77777777" w:rsidR="001371D9" w:rsidRDefault="001371D9" w:rsidP="00803E54">
            <w:pPr>
              <w:pStyle w:val="a4"/>
            </w:pPr>
            <w:r>
              <w:t>Исполнительные органы государственной власти Республики Саха (Якутия);</w:t>
            </w:r>
          </w:p>
          <w:p w14:paraId="6BAF90F5" w14:textId="77777777" w:rsidR="001371D9" w:rsidRDefault="001371D9" w:rsidP="00803E54">
            <w:pPr>
              <w:pStyle w:val="a4"/>
            </w:pPr>
            <w:r>
              <w:t>территориальные органы федеральных органов государственной власти в Республике Саха (Якутия);</w:t>
            </w:r>
          </w:p>
          <w:p w14:paraId="4958FD8A" w14:textId="77777777" w:rsidR="001371D9" w:rsidRDefault="001371D9" w:rsidP="00803E54">
            <w:pPr>
              <w:pStyle w:val="a4"/>
            </w:pPr>
            <w:r>
              <w:t>общественные организации и объединения</w:t>
            </w:r>
          </w:p>
        </w:tc>
      </w:tr>
      <w:tr w:rsidR="001371D9" w14:paraId="7C9B5D96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A54" w14:textId="77777777" w:rsidR="001371D9" w:rsidRDefault="001371D9" w:rsidP="00803E54">
            <w:pPr>
              <w:pStyle w:val="a4"/>
            </w:pPr>
            <w:r>
              <w:t>Цель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3168" w14:textId="77777777" w:rsidR="001371D9" w:rsidRDefault="001371D9" w:rsidP="00803E54">
            <w:pPr>
              <w:pStyle w:val="a4"/>
            </w:pPr>
            <w:r>
              <w:t>Формирование открытого профессионального образовательного пространства, ориентированного на подготовку конкурентоспособного человека труда</w:t>
            </w:r>
          </w:p>
        </w:tc>
      </w:tr>
      <w:tr w:rsidR="001371D9" w14:paraId="0DF127EB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89A" w14:textId="77777777" w:rsidR="001371D9" w:rsidRDefault="001371D9" w:rsidP="00803E54">
            <w:pPr>
              <w:pStyle w:val="a4"/>
            </w:pPr>
            <w:r>
              <w:t>Задачи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7E32D" w14:textId="77777777" w:rsidR="00826479" w:rsidRDefault="00826479" w:rsidP="00826479">
            <w:pPr>
              <w:pStyle w:val="a4"/>
            </w:pPr>
            <w:r>
              <w:t>1. Организация предоставления доступного и качественного профессионального образования.</w:t>
            </w:r>
          </w:p>
          <w:p w14:paraId="62A3383F" w14:textId="77777777" w:rsidR="00826479" w:rsidRDefault="00826479" w:rsidP="00826479">
            <w:pPr>
              <w:pStyle w:val="a4"/>
            </w:pPr>
            <w:r>
              <w:t>2. Разработка и распространение в системе среднего профессионального образования новых образовательных технологий, форм организации образовательного процесса.</w:t>
            </w:r>
          </w:p>
          <w:p w14:paraId="2AB1BADB" w14:textId="77777777" w:rsidR="00826479" w:rsidRDefault="00826479" w:rsidP="00826479">
            <w:pPr>
              <w:pStyle w:val="a4"/>
            </w:pPr>
            <w:r>
              <w:t>3. Развитие региональной системы инклюзивного профессионального образования для инвалидов и лиц с ограниченными возможностями здоровья.</w:t>
            </w:r>
          </w:p>
          <w:p w14:paraId="7F5A2198" w14:textId="77777777" w:rsidR="00826479" w:rsidRDefault="00826479" w:rsidP="00826479">
            <w:pPr>
              <w:pStyle w:val="a4"/>
            </w:pPr>
            <w:r>
              <w:t>4. Развитие региональной системы дополнительного профессионального образования и профессионального обучения.</w:t>
            </w:r>
          </w:p>
          <w:p w14:paraId="3FC7D3B5" w14:textId="77777777" w:rsidR="00826479" w:rsidRDefault="00826479" w:rsidP="00826479">
            <w:pPr>
              <w:pStyle w:val="a4"/>
            </w:pPr>
            <w:r>
              <w:t>5. Подготовка квалифицированных кадров на условиях целевого обучения в российских и международных научно-образовательных центрах, передовых инновационных организациях</w:t>
            </w:r>
          </w:p>
          <w:p w14:paraId="70119A99" w14:textId="77777777" w:rsidR="00826479" w:rsidRDefault="00826479" w:rsidP="00826479">
            <w:pPr>
              <w:pStyle w:val="a4"/>
            </w:pPr>
            <w:r>
              <w:t>6. Создание условий для внедрения к 2024 году современной цифровой образовательной среды, обеспечивающей формирование ценности к саморазвитию и самообразованию у обучающихся образовательных организаций.</w:t>
            </w:r>
          </w:p>
          <w:p w14:paraId="6E64C33C" w14:textId="77777777" w:rsidR="00826479" w:rsidRDefault="00826479" w:rsidP="00826479">
            <w:pPr>
              <w:pStyle w:val="a4"/>
            </w:pPr>
            <w:r>
              <w:t>7.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</w:p>
          <w:p w14:paraId="2AA2C51E" w14:textId="77777777" w:rsidR="00826479" w:rsidRDefault="00826479" w:rsidP="00826479">
            <w:pPr>
              <w:pStyle w:val="a4"/>
            </w:pPr>
            <w:r>
              <w:t>8. Формирование системы профессиональных конкурсов в целях предоставления гражданам возможностей для профессионального и карьерного роста.</w:t>
            </w:r>
          </w:p>
          <w:p w14:paraId="4170CE2A" w14:textId="77777777" w:rsidR="00826479" w:rsidRDefault="00826479" w:rsidP="00826479">
            <w:pPr>
              <w:pStyle w:val="a4"/>
            </w:pPr>
            <w:r>
              <w:lastRenderedPageBreak/>
              <w:t>9. Увеличение к 2024 году численности иностранных граждан, обучающихся в организациях, осуществляющих образовательную деятельность по программам высшего образования, до 425 тысяч человек за счет развития инфраструктуры, реализации государственной поддержки развития экспорта российского образования, повышения востребованности и конкурентоспособности российского образования.</w:t>
            </w:r>
          </w:p>
          <w:p w14:paraId="1FA1F8ED" w14:textId="77777777" w:rsidR="00826479" w:rsidRDefault="00826479" w:rsidP="00826479">
            <w:pPr>
              <w:pStyle w:val="a4"/>
            </w:pPr>
            <w:r>
              <w:t>10.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экономики.</w:t>
            </w:r>
          </w:p>
          <w:p w14:paraId="08D5D24A" w14:textId="23D76382" w:rsidR="001371D9" w:rsidRDefault="00826479" w:rsidP="00826479">
            <w:pPr>
              <w:pStyle w:val="a4"/>
            </w:pPr>
            <w:r>
              <w:t>11. Обеспечение подготовки высококвалифицированных кадров для цифровой экономики.</w:t>
            </w:r>
          </w:p>
        </w:tc>
      </w:tr>
      <w:tr w:rsidR="001371D9" w14:paraId="0526CC0E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D56" w14:textId="77777777" w:rsidR="001371D9" w:rsidRDefault="001371D9" w:rsidP="00803E54">
            <w:pPr>
              <w:pStyle w:val="a4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5D2E7" w14:textId="77777777" w:rsidR="00826479" w:rsidRDefault="00826479" w:rsidP="00826479">
            <w:pPr>
              <w:pStyle w:val="a4"/>
            </w:pPr>
            <w:r>
              <w:t>1. Доля населения в возрасте от 15 до 19 лет, обучающегося по программам среднего профессионального образования, в 2018 году - 37%, в 2019 году - 39%, в 2020 году - 40%, в 2021 году - 41%, в 2022 году - 42%.</w:t>
            </w:r>
          </w:p>
          <w:p w14:paraId="6BD8CD4B" w14:textId="77777777" w:rsidR="00826479" w:rsidRDefault="00826479" w:rsidP="00826479">
            <w:pPr>
              <w:pStyle w:val="a4"/>
            </w:pPr>
            <w:r>
              <w:t>2. Доля образовательных учреждений, обучающих по программам подготовки для потребностей новой экономики (IT, креативная экономика, высокотехнологичные производства), в 2018 году - 3%, в 2019 году - 6%, в 2020 году - 9%, в 2021 году - 12%, в 2022 году - 15%.</w:t>
            </w:r>
          </w:p>
          <w:p w14:paraId="7748AD3B" w14:textId="77777777" w:rsidR="00826479" w:rsidRDefault="00826479" w:rsidP="00826479">
            <w:pPr>
              <w:pStyle w:val="a4"/>
            </w:pPr>
            <w:r>
              <w:t>3. Доля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организаций, в 2018 году - 39%, в 2019 году - 50%, в 2020 году - 50%, в 2021 году - 60%, в 2022 году - 60%.</w:t>
            </w:r>
          </w:p>
          <w:p w14:paraId="3A2A9B5B" w14:textId="77777777" w:rsidR="00826479" w:rsidRDefault="00826479" w:rsidP="00826479">
            <w:pPr>
              <w:pStyle w:val="a4"/>
            </w:pPr>
            <w:r>
              <w:t xml:space="preserve">4. Количество специализированных центров компетенций в субъектах Российской Федерации, аккредитованных по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Россия, в 2018 году - 1, в 2019 году - 2, в 2020 году - 2, в 2021 году - 3, в 2022 году - 3.</w:t>
            </w:r>
          </w:p>
          <w:p w14:paraId="0F96D3B2" w14:textId="77777777" w:rsidR="00826479" w:rsidRDefault="00826479" w:rsidP="00826479">
            <w:pPr>
              <w:pStyle w:val="a4"/>
            </w:pPr>
            <w:r>
              <w:t xml:space="preserve">5. Доля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r>
              <w:t>Ворлдскиллс</w:t>
            </w:r>
            <w:proofErr w:type="spellEnd"/>
            <w:r>
              <w:t xml:space="preserve"> Россия, в общей численности выпускников, принявших участие в демонстрационных экзаменах, в 2018 году - 24%, в 2019 году - 25%, в 2020 году - 26%, в 2021 году - 27%, в 2022 году - 28%.</w:t>
            </w:r>
          </w:p>
          <w:p w14:paraId="2843FAC7" w14:textId="77777777" w:rsidR="00826479" w:rsidRDefault="00826479" w:rsidP="00826479">
            <w:pPr>
              <w:pStyle w:val="a4"/>
            </w:pPr>
            <w:r>
              <w:t>6. Доля профессиональных образовательных организаций, реализующих практико-ориентированные (дуальные) формы обучения, в 2018 году - 30%, в 2019 году - 35%, в 2020 году - 40%, в 2021 году - 45%, в 2022 году - 50%.</w:t>
            </w:r>
          </w:p>
          <w:p w14:paraId="52F87717" w14:textId="77777777" w:rsidR="00826479" w:rsidRDefault="00826479" w:rsidP="00826479">
            <w:pPr>
              <w:pStyle w:val="a4"/>
            </w:pPr>
            <w:r>
              <w:t xml:space="preserve">7. Доля инвалидов, принятых на обучение по программам среднего профессионального образования (по отношению к 2016 году), в 2018 году - 102%, в 2019 году - 103%, в 2020 году - </w:t>
            </w:r>
            <w:r>
              <w:lastRenderedPageBreak/>
              <w:t>104%, в 2021 году - 105%, в 2022 году - 106%.</w:t>
            </w:r>
          </w:p>
          <w:p w14:paraId="20FD7C2F" w14:textId="77777777" w:rsidR="00826479" w:rsidRDefault="00826479" w:rsidP="00826479">
            <w:pPr>
              <w:pStyle w:val="a4"/>
            </w:pPr>
            <w:r>
              <w:t>8.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неуспеваемости, в 2018 году - 8, в 2019 году - 7%, в 2020 году - 7%, в 2021 году - 7%, в 2022 году - 7%.</w:t>
            </w:r>
          </w:p>
          <w:p w14:paraId="3791CDD9" w14:textId="77777777" w:rsidR="00826479" w:rsidRDefault="00826479" w:rsidP="00826479">
            <w:pPr>
              <w:pStyle w:val="a4"/>
            </w:pPr>
            <w:r>
              <w:t>9.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переподготовку, в общей численности руководителей и педагогических работников этих организаций, в 2018 году - 33%, в 2019 году - 33%, в 2020 году - 33%, в 2021 году - 33%, в 2022 году - 33%.</w:t>
            </w:r>
          </w:p>
          <w:p w14:paraId="6F92CF34" w14:textId="77777777" w:rsidR="00826479" w:rsidRDefault="00826479" w:rsidP="00826479">
            <w:pPr>
              <w:pStyle w:val="a4"/>
            </w:pPr>
            <w:r>
              <w:t>10. Число созданных многофункциональных центров прикладных квалификаций, в 2018 году - 8, в 2019 году - 9, в 2020 году - 10, в 2021 году - 11, в 2022 году - 12.</w:t>
            </w:r>
          </w:p>
          <w:p w14:paraId="6E23E1C4" w14:textId="77777777" w:rsidR="00826479" w:rsidRDefault="00826479" w:rsidP="00826479">
            <w:pPr>
              <w:pStyle w:val="a4"/>
            </w:pPr>
            <w:r>
              <w:t>11. Доля окончивших обучение от общего количества поступивших на условиях целевого обучения, в 2018 году - 66%, в 2019 году - 66,8%, в 2020 году - 67,6%, в 2021 году - 68,4%, в 2022 году - 69,2%.</w:t>
            </w:r>
          </w:p>
          <w:p w14:paraId="71992159" w14:textId="77777777" w:rsidR="00826479" w:rsidRDefault="00826479" w:rsidP="00826479">
            <w:pPr>
              <w:pStyle w:val="a4"/>
            </w:pPr>
            <w:r>
              <w:t>12. Доля образовательных организаций государственной и муниципальной собственности, реализующих образовательные программы общего образования и/или среднего профессионального образования, подключенных к сети Интернет посредством волоконно-оптических линий связи, в 2018 году - 40,49%, в 2019 году - 46,01%, в 2020 году - 55,67%, в 2021 году - 59,82%, в 2022 году - 60,89%, в 2023 году - 61,2%, в 2024 году - 61,35%.</w:t>
            </w:r>
          </w:p>
          <w:p w14:paraId="1AA14AFF" w14:textId="77777777" w:rsidR="00826479" w:rsidRDefault="00826479" w:rsidP="00826479">
            <w:pPr>
              <w:pStyle w:val="a4"/>
            </w:pPr>
            <w:r>
              <w:t>13. Доля образовательных организаций государственной и муниципальной собственности, реализующих образовательные программы общего образования и/или среднего профессионального образования, подключенных к сети Интернет через спутник, в 2018 году - 59,51%, в 2019 году - 53,99%, в 2020 году - 44,33%, в 2021 году - 40,18%, в 2022 году - 39,11%, в 2023 году - 38,8%, в 2024 году - 38,65%.</w:t>
            </w:r>
          </w:p>
          <w:p w14:paraId="38C6CF43" w14:textId="77777777" w:rsidR="00826479" w:rsidRDefault="00826479" w:rsidP="00826479">
            <w:pPr>
              <w:pStyle w:val="a4"/>
            </w:pPr>
            <w:r>
              <w:t>14. Доля муниципальных образований Республики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в 2018 году - 0, в 2019 году - 14%, в 2020 году - 30%, в 2021 году - 50%, в 2022 году - 70%, в 2023 году - 85%, в 2024 году - 100%.</w:t>
            </w:r>
          </w:p>
          <w:p w14:paraId="3E0A00C7" w14:textId="77777777" w:rsidR="00826479" w:rsidRDefault="00826479" w:rsidP="00826479">
            <w:pPr>
              <w:pStyle w:val="a4"/>
            </w:pPr>
            <w:r>
              <w:t xml:space="preserve">15.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в Республике Саха (Якутия), в которых внедрена </w:t>
            </w:r>
            <w:r>
              <w:lastRenderedPageBreak/>
              <w:t>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в 2018 году - 0, в 2019 году - 5%, в 2020 году - 15%, в 2021 году - 30%, в 2022 году - 50%, в 2023 году - 80%, в 2024 году - 90%.</w:t>
            </w:r>
          </w:p>
          <w:p w14:paraId="20CC980E" w14:textId="77777777" w:rsidR="00826479" w:rsidRDefault="00826479" w:rsidP="00826479">
            <w:pPr>
              <w:pStyle w:val="a4"/>
            </w:pPr>
            <w:r>
              <w:t>16. Доля обучающихся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(ЕПГУ) доступен личный кабинет "Образование",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 по указанным программам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в 2018 году - 0%, в 2019 году - 0%, в 2020 году - 15%, в 2021 году - 30%, в 2022 году - 50%, в 2023 году - 60%, в 2024 году - 70%.</w:t>
            </w:r>
          </w:p>
          <w:p w14:paraId="63F208AE" w14:textId="77777777" w:rsidR="00826479" w:rsidRDefault="00826479" w:rsidP="00826479">
            <w:pPr>
              <w:pStyle w:val="a4"/>
            </w:pPr>
            <w:r>
              <w:t>17.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в 2018 году - 0%, в 2019 году - 5%, в 2020 году - 15%, в 2021 году - 40%, в 2022 году - 60%, в 2023 году - 85%, в 2024 году - 95%.</w:t>
            </w:r>
          </w:p>
          <w:p w14:paraId="5743F2DF" w14:textId="77777777" w:rsidR="00826479" w:rsidRDefault="00826479" w:rsidP="00826479">
            <w:pPr>
              <w:pStyle w:val="a4"/>
            </w:pPr>
            <w:r>
              <w:t>18. 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 и среднего профессионального образования в Республике Саха (Якутия), в которых внедрена целевая модель цифровой образовательной среды, в 2018 году - 0%, в 2019 году - 3%, в 2020 году - 20%, в 2021 году - 50%, в 2022 году - 70%, в 2023 году - 80%, в 2024 году - 90%.</w:t>
            </w:r>
          </w:p>
          <w:p w14:paraId="64C931EC" w14:textId="77777777" w:rsidR="00826479" w:rsidRDefault="00826479" w:rsidP="00826479">
            <w:pPr>
              <w:pStyle w:val="a4"/>
            </w:pPr>
            <w:r>
              <w:t xml:space="preserve">19.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</w:t>
            </w:r>
            <w:r>
              <w:lastRenderedPageBreak/>
              <w:t>общем числе обучающихся по указанным программам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в 2018 году - 0%, в 2019 году - 1%, в 2020 году - 3%, в 2021 году - 5%, в 2022 году - 10%, в 2023 году - 15%, в 2024 году - 20%.</w:t>
            </w:r>
          </w:p>
          <w:p w14:paraId="158D0D91" w14:textId="77777777" w:rsidR="00826479" w:rsidRDefault="00826479" w:rsidP="00826479">
            <w:pPr>
              <w:pStyle w:val="a4"/>
            </w:pPr>
            <w:r>
              <w:t>20.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окна", в общем числе педагогических работников общего образования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в 2018 году - 0%, в 2019 году - 1%, в 2020 году - 5%, в 2021 году - 10%, в 2022 году - 25%, в 2023 году - 35%, в 2024 году - 50%.</w:t>
            </w:r>
          </w:p>
          <w:p w14:paraId="5F4E3D8E" w14:textId="77777777" w:rsidR="00826479" w:rsidRDefault="00826479" w:rsidP="00826479">
            <w:pPr>
              <w:pStyle w:val="a4"/>
            </w:pPr>
            <w:r>
              <w:t>21. Число центров опережающей профессиональной подготовки с накопительным итогом, в 2020 году - 1, в 2021 году - 1, в 2022 году - 1, в 2023 году - 1, в 2024 году - 1.</w:t>
            </w:r>
          </w:p>
          <w:p w14:paraId="579C4E2C" w14:textId="77777777" w:rsidR="00826479" w:rsidRDefault="00826479" w:rsidP="00826479">
            <w:pPr>
              <w:pStyle w:val="a4"/>
            </w:pPr>
            <w:r>
              <w:t>22. Число мастерских, оснащенных современной материально-технической базой по одной из компетенций с накопительным итогом, в 2019 году - 10, в 2020 году - 15, в 2021 году - 20, в 2022 году - 30, в 2023 году - 40, в 2024 году - 50.</w:t>
            </w:r>
          </w:p>
          <w:p w14:paraId="226FC2CE" w14:textId="77777777" w:rsidR="00826479" w:rsidRDefault="00826479" w:rsidP="00826479">
            <w:pPr>
              <w:pStyle w:val="a4"/>
            </w:pPr>
            <w:r>
              <w:t>23. Доля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в 2019 году - 25%, в 2020 году - 30%, в 2021 году - 35%, в 2022 году - 40%, в 2023 году - 45%, в 2024 году - 55%.</w:t>
            </w:r>
          </w:p>
          <w:p w14:paraId="349123FD" w14:textId="77777777" w:rsidR="00826479" w:rsidRDefault="00826479" w:rsidP="00826479">
            <w:pPr>
              <w:pStyle w:val="a4"/>
            </w:pPr>
            <w:r>
              <w:t>24. Доля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в 2019 году - 6%, в 2020 году - 8%, в 2021 году - 10%, в 2022 году - 15%, в 2023 году - 20%, в 2024 году - 30%.</w:t>
            </w:r>
          </w:p>
          <w:p w14:paraId="3F1E81DE" w14:textId="77777777" w:rsidR="00826479" w:rsidRDefault="00826479" w:rsidP="00826479">
            <w:pPr>
              <w:pStyle w:val="a4"/>
            </w:pPr>
            <w:r>
              <w:t>25. Число граждан, охваченных проведением профессиональных конкурсов, в целях предоставления возможностей для профессионального и карьерного роста, с нарастающим итогом, в 2019 году - 2 тыс. граждан, в 2020 году - 3 тыс. граждан, в 2021 году - 5 тыс. граждан, в 2022 году - 7 тыс. граждан, в 2023 году - 9 тыс. граждан, в 2024 году - 11 тыс. граждан.</w:t>
            </w:r>
          </w:p>
          <w:p w14:paraId="1068FD24" w14:textId="77777777" w:rsidR="00826479" w:rsidRDefault="00826479" w:rsidP="00826479">
            <w:pPr>
              <w:pStyle w:val="a4"/>
            </w:pPr>
            <w:r>
              <w:t>26. Доля иностранных граждан, обучающихся в образовательных организациях высшего образования и научных организациях, в 2019 году - 2%, в 2020 году - 2,5%, в 2021 году - 3%, в 2022 году - 3,5%, в 2023 году - 4%, в 2024 году - 4,5%.</w:t>
            </w:r>
          </w:p>
          <w:p w14:paraId="26C3F93D" w14:textId="77777777" w:rsidR="00826479" w:rsidRDefault="00826479" w:rsidP="00826479">
            <w:pPr>
              <w:pStyle w:val="a4"/>
            </w:pPr>
            <w:r>
              <w:lastRenderedPageBreak/>
              <w:t>27. Количество граждан Республики Саха (Якутия),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образования, среднего профессионального образования, дополнительного профессионального образования, в 2019 году - 48 тыс. человек, в 2020 году - 48,5 тыс. человек, в 2021 году - 49 тыс. человек, в 2022 году - 49,5 тыс. человек, в 2023 году - 50 тыс. человек, в 2024 году - 50,5 тыс. человек.</w:t>
            </w:r>
          </w:p>
          <w:p w14:paraId="473D649D" w14:textId="77777777" w:rsidR="00826479" w:rsidRDefault="00826479" w:rsidP="00826479">
            <w:pPr>
              <w:pStyle w:val="a4"/>
            </w:pPr>
            <w:r>
              <w:t>28. Количество выпускников системы профессионального образования с ключевыми компетенциями цифровой экономики, в 2018 году - 0,420 тыс. человек, в 2019 году - 0,456 тыс. человек, в 2020 году - 0,916 тыс. человек, в 2021 году - 1,079 тыс. человек, в 2022 году - 1,402 тыс. человек, в 2023 году - 1,666 тыс. человек, в 2024 году - 1,759 тыс. человек.</w:t>
            </w:r>
          </w:p>
          <w:p w14:paraId="1949B181" w14:textId="77777777" w:rsidR="00826479" w:rsidRDefault="00826479" w:rsidP="00826479">
            <w:pPr>
              <w:pStyle w:val="a4"/>
            </w:pPr>
            <w:r>
              <w:t>29. Число принятых на программы высшего образования в сфере информационных технологий, в 2018 году - 0,254 тыс. человек, в 2019 году - 0,423 тыс. человек, в 2020 году - 0,501 тыс. человек, в 2021 году - 0,578 тыс. человек, в 2022 году - 0,606 тыс. человек, в 2023 году - 0,628 тыс. человек, в 2024 году - 0,655 тыс. человек.</w:t>
            </w:r>
          </w:p>
          <w:p w14:paraId="3B2B6CDE" w14:textId="77777777" w:rsidR="00826479" w:rsidRDefault="00826479" w:rsidP="00826479">
            <w:pPr>
              <w:pStyle w:val="a4"/>
            </w:pPr>
            <w:r>
              <w:t>30. Доля населения, обладающего цифровой грамотностью и ключевыми компетенциями цифровой экономики, в 2018 году - 26%, в 2019 году - 27%, в 2020 году - 30%, в 2021 году - 32%, в 2022 году - 36%, в 2023 году - 38%, в 2024 году - 40%.</w:t>
            </w:r>
          </w:p>
          <w:p w14:paraId="52F11105" w14:textId="0BFC53AC" w:rsidR="001371D9" w:rsidRDefault="00826479" w:rsidP="00826479">
            <w:pPr>
              <w:pStyle w:val="a4"/>
            </w:pPr>
            <w:r>
              <w:t>31. Количество специалистов, прошедших переобучение по компетенциям цифровой экономики в рамках дополнительного образования, в 2018 году - 0 человек, в 2019 году - 0,610 тыс. человек, в 2020 году - 0,780 тыс. человек, в 2021 году - 0,800 тыс. человек, в 2022 году - 0,850 тыс. человек, в 2023 году - 0,870 тыс. человек, в 2024 году - 0,890 тыс. человек</w:t>
            </w:r>
          </w:p>
        </w:tc>
      </w:tr>
      <w:tr w:rsidR="001371D9" w14:paraId="4510EB7B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364" w14:textId="77777777" w:rsidR="001371D9" w:rsidRDefault="001371D9" w:rsidP="00803E54">
            <w:pPr>
              <w:pStyle w:val="a4"/>
            </w:pPr>
            <w:r>
              <w:lastRenderedPageBreak/>
              <w:t>Сроки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56E9" w14:textId="4F013DF8" w:rsidR="001371D9" w:rsidRDefault="001371D9" w:rsidP="00803E54">
            <w:pPr>
              <w:pStyle w:val="a4"/>
            </w:pPr>
            <w:r>
              <w:t>2018 - 202</w:t>
            </w:r>
            <w:r w:rsidR="00826479">
              <w:t>4</w:t>
            </w:r>
            <w:r>
              <w:t> годы</w:t>
            </w:r>
          </w:p>
        </w:tc>
      </w:tr>
      <w:tr w:rsidR="001371D9" w14:paraId="2A5D5888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86C" w14:textId="77777777" w:rsidR="001371D9" w:rsidRDefault="001371D9" w:rsidP="00803E54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52FEB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 подпрограммы - 28 950 030 тыс. рублей, в том числе по годам:</w:t>
            </w:r>
          </w:p>
          <w:p w14:paraId="476C41F5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- 5 990 268 тыс. руб.;</w:t>
            </w:r>
          </w:p>
          <w:p w14:paraId="1F2B29F3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- 6 059 789 тыс. руб.;</w:t>
            </w:r>
          </w:p>
          <w:p w14:paraId="55F50FDD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- 5 630 487 тыс. руб.;</w:t>
            </w:r>
          </w:p>
          <w:p w14:paraId="356E8127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- 5 634 743 тыс. руб.;</w:t>
            </w:r>
          </w:p>
          <w:p w14:paraId="6B5D9646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- 5 634 743 тыс. руб.;</w:t>
            </w:r>
          </w:p>
          <w:p w14:paraId="005AE4DC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3A0A6EEA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руб.;</w:t>
            </w:r>
          </w:p>
          <w:p w14:paraId="3D4DDA2E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а) за счет средств государственного бюджета Республики Саха (Якутия) - 26 906 374 тыс. рублей, в том числе по годам:</w:t>
            </w:r>
          </w:p>
          <w:p w14:paraId="6EB7F066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- 5 301 919 тыс. руб.;</w:t>
            </w:r>
          </w:p>
          <w:p w14:paraId="218E6328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- 5 684 282 тыс. руб.;</w:t>
            </w:r>
          </w:p>
          <w:p w14:paraId="6E7EB0CC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- 5 303 887 тыс. руб.;</w:t>
            </w:r>
          </w:p>
          <w:p w14:paraId="0D5175F4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- 5 308 143 тыс. руб.;</w:t>
            </w:r>
          </w:p>
          <w:p w14:paraId="0926BE3A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- 5 308 143 тыс. руб.;</w:t>
            </w:r>
          </w:p>
          <w:p w14:paraId="2E5C6D78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2AE0697D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руб.;</w:t>
            </w:r>
          </w:p>
          <w:p w14:paraId="7E3BB287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б) за счет средств федерального бюджета - 410 656 тыс. рублей, в том числе по годам:</w:t>
            </w:r>
          </w:p>
          <w:p w14:paraId="533CE83E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- 361 749 тыс. руб.;</w:t>
            </w:r>
          </w:p>
          <w:p w14:paraId="62A66E75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- 48 907 тыс. руб.;</w:t>
            </w:r>
          </w:p>
          <w:p w14:paraId="25E879D6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- 0,0 руб.;</w:t>
            </w:r>
          </w:p>
          <w:p w14:paraId="6296DFD5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- 0,0 руб.;</w:t>
            </w:r>
          </w:p>
          <w:p w14:paraId="5115C718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- 0,0 руб.;</w:t>
            </w:r>
          </w:p>
          <w:p w14:paraId="4B83BFF5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1867E47C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руб.;</w:t>
            </w:r>
          </w:p>
          <w:p w14:paraId="64B531A7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в) за счет средств местных бюджетов - 0,0 рублей, в том числе по годам:</w:t>
            </w:r>
          </w:p>
          <w:p w14:paraId="163EADE2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- 0,0 руб.;</w:t>
            </w:r>
          </w:p>
          <w:p w14:paraId="7DA18540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- 0,0 руб.;</w:t>
            </w:r>
          </w:p>
          <w:p w14:paraId="3881D366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- 0,0 руб.;</w:t>
            </w:r>
          </w:p>
          <w:p w14:paraId="6797C04D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- 0,0 руб.;</w:t>
            </w:r>
          </w:p>
          <w:p w14:paraId="43B9386B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- 0,0 руб.;</w:t>
            </w:r>
          </w:p>
          <w:p w14:paraId="33B630AC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6F75FB1E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руб.;</w:t>
            </w:r>
          </w:p>
          <w:p w14:paraId="1C2F966D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г) за счет внебюджетных средств - 1 633 000 тыс. рублей, в том числе по годам:</w:t>
            </w:r>
          </w:p>
          <w:p w14:paraId="68AA960F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- 326 600 тыс. руб.;</w:t>
            </w:r>
          </w:p>
          <w:p w14:paraId="734B9BB5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- 326 600 тыс. руб.;</w:t>
            </w:r>
          </w:p>
          <w:p w14:paraId="36A15BED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- 326 600 тыс. руб.;</w:t>
            </w:r>
          </w:p>
          <w:p w14:paraId="67505F99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- 326 600 тыс. руб.;</w:t>
            </w:r>
          </w:p>
          <w:p w14:paraId="11705BE2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- 326 600 тыс. руб.;</w:t>
            </w:r>
          </w:p>
          <w:p w14:paraId="1E81A4C7" w14:textId="77777777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6E9B1831" w14:textId="36D689EC" w:rsidR="00826479" w:rsidRDefault="00826479" w:rsidP="00826479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</w:t>
            </w:r>
            <w:r>
              <w:rPr>
                <w:rFonts w:eastAsiaTheme="minorHAnsi"/>
                <w:lang w:eastAsia="en-US"/>
              </w:rPr>
              <w:t>б.</w:t>
            </w:r>
          </w:p>
          <w:p w14:paraId="5B1AB34C" w14:textId="12D3DD80" w:rsidR="001371D9" w:rsidRDefault="001371D9" w:rsidP="00A5616E">
            <w:pPr>
              <w:widowControl/>
              <w:ind w:firstLine="0"/>
            </w:pPr>
          </w:p>
        </w:tc>
      </w:tr>
      <w:tr w:rsidR="001371D9" w14:paraId="2919C65C" w14:textId="77777777" w:rsidTr="001371D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ECA" w14:textId="77777777" w:rsidR="001371D9" w:rsidRDefault="001371D9" w:rsidP="00803E54">
            <w:pPr>
              <w:pStyle w:val="a4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38635" w14:textId="77777777" w:rsidR="00826479" w:rsidRDefault="00826479" w:rsidP="00826479">
            <w:pPr>
              <w:pStyle w:val="a4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14:paraId="23E05AC0" w14:textId="77777777" w:rsidR="00826479" w:rsidRDefault="00826479" w:rsidP="00826479">
            <w:pPr>
              <w:pStyle w:val="a4"/>
            </w:pPr>
            <w:r>
              <w:t>1. Увеличение доли населения в возрасте от 15 до 19 лет, обучающегося по программам среднего профессионального образования, до 42%.</w:t>
            </w:r>
          </w:p>
          <w:p w14:paraId="710633C4" w14:textId="77777777" w:rsidR="00826479" w:rsidRDefault="00826479" w:rsidP="00826479">
            <w:pPr>
              <w:pStyle w:val="a4"/>
            </w:pPr>
            <w:r>
              <w:t>2. Увеличение доли образовательных учреждений, обучающих по программам подготовки для потребностей новой экономики (IT, креативная экономика, высокотехнологичные производства), до 15%.</w:t>
            </w:r>
          </w:p>
          <w:p w14:paraId="15FCD300" w14:textId="77777777" w:rsidR="00826479" w:rsidRDefault="00826479" w:rsidP="00826479">
            <w:pPr>
              <w:pStyle w:val="a4"/>
            </w:pPr>
            <w:r>
              <w:t>3. Увеличение доли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организаций, до 60%.</w:t>
            </w:r>
          </w:p>
          <w:p w14:paraId="1F3776F3" w14:textId="77777777" w:rsidR="00826479" w:rsidRDefault="00826479" w:rsidP="00826479">
            <w:pPr>
              <w:pStyle w:val="a4"/>
            </w:pPr>
            <w:r>
              <w:t xml:space="preserve">4. Увеличение количества специализированных центров компетенций в субъектах Российской Федерации, аккредитованных по стандартам </w:t>
            </w:r>
            <w:proofErr w:type="spellStart"/>
            <w:proofErr w:type="gramStart"/>
            <w:r>
              <w:t>Ворлдскиллс</w:t>
            </w:r>
            <w:proofErr w:type="spellEnd"/>
            <w:proofErr w:type="gramEnd"/>
            <w:r>
              <w:t xml:space="preserve"> Россия, до 3.</w:t>
            </w:r>
          </w:p>
          <w:p w14:paraId="2DDB1ADA" w14:textId="77777777" w:rsidR="00826479" w:rsidRDefault="00826479" w:rsidP="00826479">
            <w:pPr>
              <w:pStyle w:val="a4"/>
            </w:pPr>
            <w:r>
              <w:t xml:space="preserve">5. Увеличение доли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proofErr w:type="spellStart"/>
            <w:proofErr w:type="gramStart"/>
            <w:r>
              <w:t>Ворлдскиллс</w:t>
            </w:r>
            <w:proofErr w:type="spellEnd"/>
            <w:proofErr w:type="gramEnd"/>
            <w:r>
              <w:t xml:space="preserve"> Россия, в общей численности выпускников, принявших участие в демонстрационных экзаменах, до 28%.</w:t>
            </w:r>
          </w:p>
          <w:p w14:paraId="49A1D71D" w14:textId="77777777" w:rsidR="00826479" w:rsidRDefault="00826479" w:rsidP="00826479">
            <w:pPr>
              <w:pStyle w:val="a4"/>
            </w:pPr>
            <w:r>
              <w:t>6. Увеличение доли профессиональных образовательных организаций, реализующих практико-ориентированные (дуальные) формы обучения, до 50%.</w:t>
            </w:r>
          </w:p>
          <w:p w14:paraId="60C65D08" w14:textId="77777777" w:rsidR="00826479" w:rsidRDefault="00826479" w:rsidP="00826479">
            <w:pPr>
              <w:pStyle w:val="a4"/>
            </w:pPr>
            <w:r>
              <w:t>7. Увеличение доли инвалидов, принятых на обучение по программам среднего профессионального образования (по отношению к 2016 году), до 106%.</w:t>
            </w:r>
          </w:p>
          <w:p w14:paraId="34EBF285" w14:textId="77777777" w:rsidR="00826479" w:rsidRDefault="00826479" w:rsidP="00826479">
            <w:pPr>
              <w:pStyle w:val="a4"/>
            </w:pPr>
            <w:r>
              <w:t>8. Сохранение доли студентов из числа инвалидов, обучавшихся по программам среднего профессионального образования, выбывших по причине академической неуспеваемости, на уровне 7%.</w:t>
            </w:r>
          </w:p>
          <w:p w14:paraId="5AC3A065" w14:textId="77777777" w:rsidR="00826479" w:rsidRDefault="00826479" w:rsidP="00826479">
            <w:pPr>
              <w:pStyle w:val="a4"/>
            </w:pPr>
            <w:r>
              <w:t>9. Сохранение доли руководителей и педагогических работников образовательных организаций, прошедших повышение квалификации и (или) профессиональную переподготовку, в общей численности руководителей и педагогических работников этих организаций, на уровне 33%.</w:t>
            </w:r>
          </w:p>
          <w:p w14:paraId="1DED38DB" w14:textId="77777777" w:rsidR="00826479" w:rsidRDefault="00826479" w:rsidP="00826479">
            <w:pPr>
              <w:pStyle w:val="a4"/>
            </w:pPr>
            <w:r>
              <w:t>10. Увеличение числа созданных многофункциональных центров прикладных квалификаций, до 12.</w:t>
            </w:r>
          </w:p>
          <w:p w14:paraId="30AAEE32" w14:textId="77777777" w:rsidR="00826479" w:rsidRDefault="00826479" w:rsidP="00826479">
            <w:pPr>
              <w:pStyle w:val="a4"/>
            </w:pPr>
            <w:r>
              <w:t>11. Увеличение доли окончивших обучение от общего количества поступивших на условиях целевого обучения, до 69,2%.</w:t>
            </w:r>
          </w:p>
          <w:p w14:paraId="2880B654" w14:textId="77777777" w:rsidR="00826479" w:rsidRDefault="00826479" w:rsidP="00826479">
            <w:pPr>
              <w:pStyle w:val="a4"/>
            </w:pPr>
            <w:r>
              <w:t xml:space="preserve">Реализация подпрограммы позволит обеспечить достижение к концу 2024 года следующих </w:t>
            </w:r>
            <w:r>
              <w:lastRenderedPageBreak/>
              <w:t>результатов:</w:t>
            </w:r>
          </w:p>
          <w:p w14:paraId="6CDF76E6" w14:textId="77777777" w:rsidR="00826479" w:rsidRDefault="00826479" w:rsidP="00826479">
            <w:pPr>
              <w:pStyle w:val="a4"/>
            </w:pPr>
            <w:r>
              <w:t>12. Увеличение доли образовательных организаций государственной и муниципальной собственности, реализующих образовательные программы общего образования и/или среднего профессионального образования, подключенных к сети Интернет посредством волоконно-оптических линий связи, до 61,35%.</w:t>
            </w:r>
          </w:p>
          <w:p w14:paraId="53E15335" w14:textId="77777777" w:rsidR="00826479" w:rsidRDefault="00826479" w:rsidP="00826479">
            <w:pPr>
              <w:pStyle w:val="a4"/>
            </w:pPr>
            <w:r>
              <w:t>13. Увеличение доли образовательных организаций государственной и муниципальной собственности, реализующих образовательные программы общего образования и/или среднего профессионального образования, подключенных к сети Интернет через спутник, до 38,65%.</w:t>
            </w:r>
          </w:p>
          <w:p w14:paraId="064209A0" w14:textId="77777777" w:rsidR="00826479" w:rsidRDefault="00826479" w:rsidP="00826479">
            <w:pPr>
              <w:pStyle w:val="a4"/>
            </w:pPr>
            <w:r>
              <w:t>14. Увеличение доли муниципальных образований Республики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до 100%.</w:t>
            </w:r>
          </w:p>
          <w:p w14:paraId="2E77EBC9" w14:textId="77777777" w:rsidR="00826479" w:rsidRDefault="00826479" w:rsidP="00826479">
            <w:pPr>
              <w:pStyle w:val="a4"/>
            </w:pPr>
            <w:r>
              <w:t>15. Увеличение доли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до 90%.</w:t>
            </w:r>
          </w:p>
          <w:p w14:paraId="499D3B63" w14:textId="77777777" w:rsidR="00826479" w:rsidRDefault="00826479" w:rsidP="00826479">
            <w:pPr>
              <w:pStyle w:val="a4"/>
            </w:pPr>
            <w:r>
              <w:t>16. Увеличение доли обучающихся по программам общего образования, дополнительного образования для детей и среднего профессионального образования, для которых на Едином портале государственных услуг (ЕПГУ) доступен личный кабинет "Образование",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в общем числе обучающихся по указанным программам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до 70%.</w:t>
            </w:r>
          </w:p>
          <w:p w14:paraId="2FFC15BD" w14:textId="77777777" w:rsidR="00826479" w:rsidRDefault="00826479" w:rsidP="00826479">
            <w:pPr>
              <w:pStyle w:val="a4"/>
            </w:pPr>
            <w:r>
              <w:t xml:space="preserve">17. Увеличение доли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</w:t>
            </w:r>
            <w:r>
              <w:lastRenderedPageBreak/>
              <w:t>информационно-сервисной платформы цифровой образовательной среды, в общем числе образовательных организаций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до 95%.</w:t>
            </w:r>
          </w:p>
          <w:p w14:paraId="74DAC627" w14:textId="77777777" w:rsidR="00826479" w:rsidRDefault="00826479" w:rsidP="00826479">
            <w:pPr>
              <w:pStyle w:val="a4"/>
            </w:pPr>
            <w:r>
              <w:t>18. Увеличение доли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 и среднего профессионального образования в Республике Саха (Якутия), в которых внедрена целевая модель цифровой образовательной среды, до 90%.</w:t>
            </w:r>
          </w:p>
          <w:p w14:paraId="07F0C5D9" w14:textId="77777777" w:rsidR="00826479" w:rsidRDefault="00826479" w:rsidP="00826479">
            <w:pPr>
              <w:pStyle w:val="a4"/>
            </w:pPr>
            <w:r>
              <w:t>19. Увеличение доли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до 20%.</w:t>
            </w:r>
          </w:p>
          <w:p w14:paraId="3AE2DD17" w14:textId="77777777" w:rsidR="00826479" w:rsidRDefault="00826479" w:rsidP="00826479">
            <w:pPr>
              <w:pStyle w:val="a4"/>
            </w:pPr>
            <w:r>
              <w:t>20. 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окна", в общем числе педагогических работников общего образования в Республике Саха (Якутия),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до 50%.</w:t>
            </w:r>
          </w:p>
          <w:p w14:paraId="2C488B3B" w14:textId="77777777" w:rsidR="00826479" w:rsidRDefault="00826479" w:rsidP="00826479">
            <w:pPr>
              <w:pStyle w:val="a4"/>
            </w:pPr>
            <w:r>
              <w:t>21. Создание центра опережающей профессиональной подготовки.</w:t>
            </w:r>
          </w:p>
          <w:p w14:paraId="76122209" w14:textId="77777777" w:rsidR="00826479" w:rsidRDefault="00826479" w:rsidP="00826479">
            <w:pPr>
              <w:pStyle w:val="a4"/>
            </w:pPr>
            <w:r>
              <w:t>22. Увеличение числа мастерских, оснащенных современной материально-технической базой по одной из компетенций, до 50.</w:t>
            </w:r>
          </w:p>
          <w:p w14:paraId="30B097AD" w14:textId="77777777" w:rsidR="00826479" w:rsidRDefault="00826479" w:rsidP="00826479">
            <w:pPr>
              <w:pStyle w:val="a4"/>
            </w:pPr>
            <w:r>
              <w:t>23. Увеличение доли организаций,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экзамена, до 55%.</w:t>
            </w:r>
          </w:p>
          <w:p w14:paraId="01B78A9D" w14:textId="77777777" w:rsidR="00826479" w:rsidRDefault="00826479" w:rsidP="00826479">
            <w:pPr>
              <w:pStyle w:val="a4"/>
            </w:pPr>
            <w:r>
              <w:t>24. Увеличение доли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до 30%.</w:t>
            </w:r>
          </w:p>
          <w:p w14:paraId="794D5670" w14:textId="77777777" w:rsidR="00826479" w:rsidRDefault="00826479" w:rsidP="00826479">
            <w:pPr>
              <w:pStyle w:val="a4"/>
            </w:pPr>
            <w:r>
              <w:lastRenderedPageBreak/>
              <w:t>25. Увеличение числа граждан, охваченных проведением профессиональных конкурсов, в целях предоставления возможностей для профессионального и карьерного роста, нарастающим итогом, до 11 тыс. граждан.</w:t>
            </w:r>
          </w:p>
          <w:p w14:paraId="26FA09BE" w14:textId="77777777" w:rsidR="00826479" w:rsidRDefault="00826479" w:rsidP="00826479">
            <w:pPr>
              <w:pStyle w:val="a4"/>
            </w:pPr>
            <w:r>
              <w:t>26. Увеличение доли иностранных граждан, обучающихся в образовательных организациях высшего образования и научных организациях, до 4,5%.</w:t>
            </w:r>
          </w:p>
          <w:p w14:paraId="61547C96" w14:textId="77777777" w:rsidR="00826479" w:rsidRDefault="00826479" w:rsidP="00826479">
            <w:pPr>
              <w:pStyle w:val="a4"/>
            </w:pPr>
            <w:r>
              <w:t>27. Увеличение количества граждан Республики Саха (Якутия), ежегодно 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образования, среднего профессионального образования, дополнительного профессионального образования, до 50,5 тыс. человек.</w:t>
            </w:r>
          </w:p>
          <w:p w14:paraId="013C7A09" w14:textId="77777777" w:rsidR="00826479" w:rsidRDefault="00826479" w:rsidP="00826479">
            <w:pPr>
              <w:pStyle w:val="a4"/>
            </w:pPr>
            <w:r>
              <w:t>28. Увеличение количества выпускников системы профессионального образования с ключевыми компетенциями цифровой экономики, до 1,759 тыс. человек.</w:t>
            </w:r>
          </w:p>
          <w:p w14:paraId="08226232" w14:textId="77777777" w:rsidR="00826479" w:rsidRDefault="00826479" w:rsidP="00826479">
            <w:pPr>
              <w:pStyle w:val="a4"/>
            </w:pPr>
            <w:r>
              <w:t>29. Увеличение числа принятых на программы высшего образования в сфере информационных технологий, до 0,655 тыс. человек.</w:t>
            </w:r>
          </w:p>
          <w:p w14:paraId="2A1DD11D" w14:textId="77777777" w:rsidR="00826479" w:rsidRDefault="00826479" w:rsidP="00826479">
            <w:pPr>
              <w:pStyle w:val="a4"/>
            </w:pPr>
            <w:r>
              <w:t>30. Увеличение доли населения, обладающего цифровой грамотностью и ключевыми компетенциями цифровой экономики, до 40%.</w:t>
            </w:r>
          </w:p>
          <w:p w14:paraId="63F0D49F" w14:textId="54EC064F" w:rsidR="001371D9" w:rsidRDefault="00826479" w:rsidP="00826479">
            <w:pPr>
              <w:pStyle w:val="a4"/>
            </w:pPr>
            <w:r>
              <w:t>31. Увеличение количества специалистов, прошедших переобучение по компетенциям цифровой экономики в рамках дополнительного образования, до 0,890 тыс. человек</w:t>
            </w:r>
            <w:bookmarkStart w:id="1" w:name="_GoBack"/>
            <w:bookmarkEnd w:id="1"/>
          </w:p>
        </w:tc>
      </w:tr>
    </w:tbl>
    <w:p w14:paraId="5CDB6ECB" w14:textId="77777777" w:rsidR="008E387D" w:rsidRDefault="008E387D"/>
    <w:sectPr w:rsidR="008E387D" w:rsidSect="001371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D9"/>
    <w:rsid w:val="001371D9"/>
    <w:rsid w:val="00826479"/>
    <w:rsid w:val="008E387D"/>
    <w:rsid w:val="00A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CBC6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1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1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1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71D9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1371D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3586</Words>
  <Characters>20446</Characters>
  <Application>Microsoft Office Word</Application>
  <DocSecurity>0</DocSecurity>
  <Lines>170</Lines>
  <Paragraphs>47</Paragraphs>
  <ScaleCrop>false</ScaleCrop>
  <Company/>
  <LinksUpToDate>false</LinksUpToDate>
  <CharactersWithSpaces>23985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Васильева</cp:lastModifiedBy>
  <cp:revision>3</cp:revision>
  <dcterms:created xsi:type="dcterms:W3CDTF">2019-12-25T07:55:00Z</dcterms:created>
  <dcterms:modified xsi:type="dcterms:W3CDTF">2019-12-25T08:14:00Z</dcterms:modified>
</cp:coreProperties>
</file>