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BE" w:rsidRDefault="00F61C76" w:rsidP="00624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9770" w:type="dxa"/>
        <w:tblLayout w:type="fixed"/>
        <w:tblLook w:val="04A0" w:firstRow="1" w:lastRow="0" w:firstColumn="1" w:lastColumn="0" w:noHBand="0" w:noVBand="1"/>
      </w:tblPr>
      <w:tblGrid>
        <w:gridCol w:w="5920"/>
        <w:gridCol w:w="3827"/>
        <w:gridCol w:w="23"/>
      </w:tblGrid>
      <w:tr w:rsidR="00654E24" w:rsidRPr="00A02558" w:rsidTr="00CF4FED">
        <w:trPr>
          <w:trHeight w:val="714"/>
        </w:trPr>
        <w:tc>
          <w:tcPr>
            <w:tcW w:w="9770" w:type="dxa"/>
            <w:gridSpan w:val="3"/>
          </w:tcPr>
          <w:p w:rsidR="00654E24" w:rsidRPr="00A02558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558">
              <w:rPr>
                <w:rFonts w:ascii="Times New Roman" w:hAnsi="Times New Roman" w:cs="Times New Roman"/>
                <w:b/>
                <w:sz w:val="26"/>
                <w:szCs w:val="26"/>
              </w:rPr>
              <w:t>1. До 01 сентября 2020 года субъектам малого и среднего предпринимательства, предоставлена отсрочка по уплате (распоряжение Окружной администрации города Якутска от 24 марта 2020 года № 430р):</w:t>
            </w:r>
          </w:p>
        </w:tc>
      </w:tr>
      <w:tr w:rsidR="00CF4FED" w:rsidTr="00CF4FED">
        <w:trPr>
          <w:gridAfter w:val="1"/>
          <w:wAfter w:w="23" w:type="dxa"/>
          <w:trHeight w:val="1264"/>
        </w:trPr>
        <w:tc>
          <w:tcPr>
            <w:tcW w:w="5920" w:type="dxa"/>
          </w:tcPr>
          <w:p w:rsidR="00CF4FED" w:rsidRPr="004F5691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F5691">
              <w:rPr>
                <w:rFonts w:ascii="Times New Roman" w:hAnsi="Times New Roman" w:cs="Times New Roman"/>
                <w:sz w:val="26"/>
                <w:szCs w:val="26"/>
              </w:rPr>
              <w:t xml:space="preserve"> арендной платы за муниципальные нежилые 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F5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CF4FED" w:rsidRPr="006A0715" w:rsidRDefault="00CF4FED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715">
              <w:rPr>
                <w:rFonts w:ascii="Times New Roman" w:hAnsi="Times New Roman" w:cs="Times New Roman"/>
                <w:sz w:val="26"/>
                <w:szCs w:val="26"/>
              </w:rPr>
              <w:t>Мера поддержки предоставляется без заявления</w:t>
            </w:r>
          </w:p>
        </w:tc>
      </w:tr>
      <w:tr w:rsidR="00CF4FED" w:rsidTr="00CF4FED">
        <w:trPr>
          <w:gridAfter w:val="1"/>
          <w:wAfter w:w="23" w:type="dxa"/>
        </w:trPr>
        <w:tc>
          <w:tcPr>
            <w:tcW w:w="5920" w:type="dxa"/>
          </w:tcPr>
          <w:p w:rsidR="00CF4FED" w:rsidRPr="004F5691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4F5691">
              <w:rPr>
                <w:rFonts w:ascii="Times New Roman" w:hAnsi="Times New Roman" w:cs="Times New Roman"/>
                <w:sz w:val="26"/>
                <w:szCs w:val="26"/>
              </w:rPr>
              <w:t>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827" w:type="dxa"/>
            <w:vMerge/>
          </w:tcPr>
          <w:p w:rsidR="00CF4FED" w:rsidRPr="006A0715" w:rsidRDefault="00CF4FED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E24" w:rsidRPr="003C1B9D" w:rsidTr="00CF4FED">
        <w:tc>
          <w:tcPr>
            <w:tcW w:w="9770" w:type="dxa"/>
            <w:gridSpan w:val="3"/>
          </w:tcPr>
          <w:p w:rsidR="00654E24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9D">
              <w:rPr>
                <w:rFonts w:ascii="Times New Roman" w:hAnsi="Times New Roman" w:cs="Times New Roman"/>
                <w:b/>
                <w:sz w:val="26"/>
                <w:szCs w:val="26"/>
              </w:rPr>
              <w:t>2. Освобождены от платы за размещение нестационарных</w:t>
            </w:r>
          </w:p>
          <w:p w:rsidR="00654E24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торговых объектов (распоряжение Окружной администрации города </w:t>
            </w:r>
          </w:p>
          <w:p w:rsidR="00654E24" w:rsidRPr="003C1B9D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B9D">
              <w:rPr>
                <w:rFonts w:ascii="Times New Roman" w:hAnsi="Times New Roman" w:cs="Times New Roman"/>
                <w:b/>
                <w:sz w:val="26"/>
                <w:szCs w:val="26"/>
              </w:rPr>
              <w:t>Якутска от 3 апреля 2020 года № 476р)</w:t>
            </w:r>
          </w:p>
        </w:tc>
      </w:tr>
      <w:tr w:rsidR="00CF4FED" w:rsidTr="00CF4FED">
        <w:trPr>
          <w:gridAfter w:val="1"/>
          <w:wAfter w:w="23" w:type="dxa"/>
        </w:trPr>
        <w:tc>
          <w:tcPr>
            <w:tcW w:w="5920" w:type="dxa"/>
          </w:tcPr>
          <w:p w:rsidR="00CF4FED" w:rsidRPr="004F5691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691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Освобождены за 2 квартал 2020 года субъекты малого и среднего </w:t>
            </w:r>
            <w:proofErr w:type="spellStart"/>
            <w:proofErr w:type="gramStart"/>
            <w:r w:rsidRPr="004F5691">
              <w:rPr>
                <w:rFonts w:ascii="Times New Roman" w:hAnsi="Times New Roman" w:cs="Times New Roman"/>
                <w:sz w:val="26"/>
                <w:szCs w:val="26"/>
              </w:rPr>
              <w:t>предпринима-тельства</w:t>
            </w:r>
            <w:proofErr w:type="spellEnd"/>
            <w:proofErr w:type="gramEnd"/>
            <w:r w:rsidRPr="004F5691">
              <w:rPr>
                <w:rFonts w:ascii="Times New Roman" w:hAnsi="Times New Roman" w:cs="Times New Roman"/>
                <w:sz w:val="26"/>
                <w:szCs w:val="26"/>
              </w:rPr>
              <w:t>, приостановившие свою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CF4FED" w:rsidRPr="006A0715" w:rsidRDefault="00CF4FED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715">
              <w:rPr>
                <w:rFonts w:ascii="Times New Roman" w:hAnsi="Times New Roman" w:cs="Times New Roman"/>
                <w:sz w:val="26"/>
                <w:szCs w:val="26"/>
              </w:rPr>
              <w:t>Мера поддержки предоставляется на основании заявления</w:t>
            </w:r>
          </w:p>
        </w:tc>
      </w:tr>
      <w:tr w:rsidR="00654E24" w:rsidRPr="000055C5" w:rsidTr="00CF4FED">
        <w:tc>
          <w:tcPr>
            <w:tcW w:w="9770" w:type="dxa"/>
            <w:gridSpan w:val="3"/>
          </w:tcPr>
          <w:p w:rsidR="00654E24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C5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0055C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Предоставлена отсрочка платежей по договорам на установку и эксплуатацию рекламных конструкций на территории городского округа «город Якутск» (распоряжение Окружной администрации города Якутска </w:t>
            </w:r>
          </w:p>
          <w:p w:rsidR="00654E24" w:rsidRPr="000055C5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C5">
              <w:rPr>
                <w:rFonts w:ascii="Times New Roman" w:hAnsi="Times New Roman" w:cs="Times New Roman"/>
                <w:b/>
                <w:sz w:val="26"/>
                <w:szCs w:val="26"/>
              </w:rPr>
              <w:t>от 24 апреля 2020 года № 568р)</w:t>
            </w:r>
          </w:p>
        </w:tc>
      </w:tr>
      <w:tr w:rsidR="00CF4FED" w:rsidTr="00CF4FED">
        <w:trPr>
          <w:gridAfter w:val="1"/>
          <w:wAfter w:w="23" w:type="dxa"/>
        </w:trPr>
        <w:tc>
          <w:tcPr>
            <w:tcW w:w="5920" w:type="dxa"/>
          </w:tcPr>
          <w:p w:rsidR="00CF4FED" w:rsidRPr="00110616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616">
              <w:rPr>
                <w:rFonts w:ascii="Times New Roman" w:hAnsi="Times New Roman" w:cs="Times New Roman"/>
                <w:sz w:val="26"/>
                <w:szCs w:val="26"/>
              </w:rPr>
              <w:t xml:space="preserve">Отсрочка за апрель - июнь 2020 года на срок, предложенный арендатором, но не позднее 31 декабря 2020 года </w:t>
            </w:r>
          </w:p>
        </w:tc>
        <w:tc>
          <w:tcPr>
            <w:tcW w:w="3827" w:type="dxa"/>
          </w:tcPr>
          <w:p w:rsidR="00CF4FED" w:rsidRPr="00110616" w:rsidRDefault="00CF4FED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616">
              <w:rPr>
                <w:rFonts w:ascii="Times New Roman" w:hAnsi="Times New Roman" w:cs="Times New Roman"/>
                <w:sz w:val="26"/>
                <w:szCs w:val="26"/>
              </w:rPr>
              <w:t>Мера поддержки предоставляется на основании заявления</w:t>
            </w:r>
          </w:p>
        </w:tc>
      </w:tr>
      <w:tr w:rsidR="00654E24" w:rsidRPr="000055C5" w:rsidTr="00CF4FED">
        <w:tc>
          <w:tcPr>
            <w:tcW w:w="9770" w:type="dxa"/>
            <w:gridSpan w:val="3"/>
          </w:tcPr>
          <w:p w:rsidR="00654E24" w:rsidRPr="000055C5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C5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0055C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Для заемщиков </w:t>
            </w:r>
            <w:proofErr w:type="spellStart"/>
            <w:r w:rsidRPr="000055C5">
              <w:rPr>
                <w:rFonts w:ascii="Times New Roman" w:hAnsi="Times New Roman" w:cs="Times New Roman"/>
                <w:b/>
                <w:sz w:val="26"/>
                <w:szCs w:val="26"/>
              </w:rPr>
              <w:t>микрокредитной</w:t>
            </w:r>
            <w:proofErr w:type="spellEnd"/>
            <w:r w:rsidRPr="00005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компании </w:t>
            </w:r>
          </w:p>
          <w:p w:rsidR="00654E24" w:rsidRPr="000055C5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C5">
              <w:rPr>
                <w:rFonts w:ascii="Times New Roman" w:hAnsi="Times New Roman" w:cs="Times New Roman"/>
                <w:b/>
                <w:sz w:val="26"/>
                <w:szCs w:val="26"/>
              </w:rPr>
              <w:t>Фонд развития города Якутска предусмотрена (распоряжение Окружной администрации города Якутска от 27 марта 2020 года № 459р):</w:t>
            </w:r>
          </w:p>
        </w:tc>
      </w:tr>
      <w:tr w:rsidR="00CF4FED" w:rsidRPr="00840FA7" w:rsidTr="00CF4FED">
        <w:trPr>
          <w:gridAfter w:val="1"/>
          <w:wAfter w:w="23" w:type="dxa"/>
        </w:trPr>
        <w:tc>
          <w:tcPr>
            <w:tcW w:w="5920" w:type="dxa"/>
          </w:tcPr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0FA7">
              <w:rPr>
                <w:rFonts w:ascii="Times New Roman" w:hAnsi="Times New Roman" w:cs="Times New Roman"/>
                <w:sz w:val="26"/>
                <w:szCs w:val="26"/>
              </w:rPr>
              <w:t xml:space="preserve"> отсрочка уплаты процентов на срок до 3-х месяцев,</w:t>
            </w:r>
          </w:p>
          <w:p w:rsidR="00CF4FED" w:rsidRPr="00840FA7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CF4FED" w:rsidRPr="00406786" w:rsidRDefault="00CF4FED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651">
              <w:rPr>
                <w:rFonts w:ascii="Times New Roman" w:hAnsi="Times New Roman" w:cs="Times New Roman"/>
                <w:sz w:val="26"/>
                <w:szCs w:val="26"/>
              </w:rPr>
              <w:t>Мера поддержки предоставляется на основании заявления</w:t>
            </w:r>
          </w:p>
        </w:tc>
      </w:tr>
      <w:tr w:rsidR="00CF4FED" w:rsidTr="00CF4FED">
        <w:trPr>
          <w:gridAfter w:val="1"/>
          <w:wAfter w:w="23" w:type="dxa"/>
        </w:trPr>
        <w:tc>
          <w:tcPr>
            <w:tcW w:w="5920" w:type="dxa"/>
          </w:tcPr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0FA7">
              <w:rPr>
                <w:rFonts w:ascii="Times New Roman" w:hAnsi="Times New Roman" w:cs="Times New Roman"/>
                <w:sz w:val="26"/>
                <w:szCs w:val="26"/>
              </w:rPr>
              <w:t xml:space="preserve"> отсрочка погашения основного долга по займу на конец срока действия займа,</w:t>
            </w:r>
          </w:p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FED" w:rsidTr="00CF4FED">
        <w:trPr>
          <w:gridAfter w:val="1"/>
          <w:wAfter w:w="23" w:type="dxa"/>
        </w:trPr>
        <w:tc>
          <w:tcPr>
            <w:tcW w:w="5920" w:type="dxa"/>
          </w:tcPr>
          <w:p w:rsidR="00CF4FED" w:rsidRPr="002E7279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0FA7">
              <w:rPr>
                <w:rFonts w:ascii="Times New Roman" w:hAnsi="Times New Roman" w:cs="Times New Roman"/>
                <w:sz w:val="26"/>
                <w:szCs w:val="26"/>
              </w:rPr>
              <w:t xml:space="preserve"> реструктуризация графика платежей в связи с отсрочкой по возврату основного долга на срок до 6 месяцев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827" w:type="dxa"/>
            <w:vMerge/>
          </w:tcPr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FED" w:rsidTr="00CF4FED">
        <w:trPr>
          <w:gridAfter w:val="1"/>
          <w:wAfter w:w="23" w:type="dxa"/>
        </w:trPr>
        <w:tc>
          <w:tcPr>
            <w:tcW w:w="5920" w:type="dxa"/>
          </w:tcPr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беспроцентные займы </w:t>
            </w:r>
            <w:r w:rsidRPr="00840FA7">
              <w:rPr>
                <w:rFonts w:ascii="Times New Roman" w:hAnsi="Times New Roman" w:cs="Times New Roman"/>
                <w:sz w:val="26"/>
                <w:szCs w:val="26"/>
              </w:rPr>
              <w:t>для субъектов малого и среднего предпринимательства, осуществляющим пассажирские перевозки на территории ГО «город Якутск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для приобретения ГСМ,</w:t>
            </w:r>
          </w:p>
        </w:tc>
        <w:tc>
          <w:tcPr>
            <w:tcW w:w="3827" w:type="dxa"/>
            <w:vMerge/>
          </w:tcPr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FED" w:rsidTr="00CF4FED">
        <w:trPr>
          <w:gridAfter w:val="1"/>
          <w:wAfter w:w="23" w:type="dxa"/>
        </w:trPr>
        <w:tc>
          <w:tcPr>
            <w:tcW w:w="5920" w:type="dxa"/>
          </w:tcPr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снижение процентной ставки по займам с 7,0% до 4,67% на 3 месяца</w:t>
            </w:r>
          </w:p>
        </w:tc>
        <w:tc>
          <w:tcPr>
            <w:tcW w:w="3827" w:type="dxa"/>
            <w:vMerge/>
          </w:tcPr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E24" w:rsidRPr="00F1742E" w:rsidTr="00CF4FED">
        <w:tc>
          <w:tcPr>
            <w:tcW w:w="9770" w:type="dxa"/>
            <w:gridSpan w:val="3"/>
          </w:tcPr>
          <w:p w:rsidR="00654E24" w:rsidRPr="00F1742E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4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Освобождены от уплаты земельного налога в размере 25 процентов </w:t>
            </w:r>
          </w:p>
          <w:p w:rsidR="00654E24" w:rsidRPr="00F1742E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4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организации за налоговый период 2020 года и индивидуальные </w:t>
            </w:r>
          </w:p>
          <w:p w:rsidR="00654E24" w:rsidRPr="00F1742E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4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предприниматели за налоговый период 2019 года </w:t>
            </w:r>
          </w:p>
          <w:p w:rsidR="00654E24" w:rsidRPr="00F1742E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42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F1742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Якутской городской Думы от 22.05.2020 года № РЯГД-16-2)</w:t>
            </w:r>
          </w:p>
        </w:tc>
      </w:tr>
      <w:tr w:rsidR="00CF4FED" w:rsidRPr="00094426" w:rsidTr="00CF4FED">
        <w:trPr>
          <w:gridAfter w:val="1"/>
          <w:wAfter w:w="23" w:type="dxa"/>
        </w:trPr>
        <w:tc>
          <w:tcPr>
            <w:tcW w:w="5920" w:type="dxa"/>
          </w:tcPr>
          <w:p w:rsidR="00CF4FED" w:rsidRPr="00094426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Субъекты</w:t>
            </w:r>
            <w:r w:rsidRPr="00094426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и малого предпринимательства, основ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94426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094426">
              <w:rPr>
                <w:rFonts w:ascii="Times New Roman" w:hAnsi="Times New Roman" w:cs="Times New Roman"/>
                <w:sz w:val="26"/>
                <w:szCs w:val="26"/>
              </w:rPr>
              <w:t xml:space="preserve"> видом деятельности которых является деятельность с ОКВЭД</w:t>
            </w:r>
            <w:proofErr w:type="gramStart"/>
            <w:r w:rsidRPr="000944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094426">
              <w:rPr>
                <w:rFonts w:ascii="Times New Roman" w:hAnsi="Times New Roman" w:cs="Times New Roman"/>
                <w:sz w:val="26"/>
                <w:szCs w:val="26"/>
              </w:rPr>
              <w:t xml:space="preserve"> 49.3, 49.4, 51.1, 51.21, 52.21.21, 52.23.1, 90, 59.14, 91.02, 93, 96.04, 86.90.4, 79, 55, 56, 85.41, 88.91, 82.3, 95, 96.01, 96.02, 86.23, 45.11.2, 45.32, 45.40.2, 47.19, 47.4, 47.5, 47.6, 47.7,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47.82, 47.89, 32.99.8, 47.99.2</w:t>
            </w:r>
          </w:p>
        </w:tc>
        <w:tc>
          <w:tcPr>
            <w:tcW w:w="3827" w:type="dxa"/>
          </w:tcPr>
          <w:p w:rsidR="00CF4FED" w:rsidRPr="00094426" w:rsidRDefault="00CF4FED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426">
              <w:rPr>
                <w:rFonts w:ascii="Times New Roman" w:hAnsi="Times New Roman" w:cs="Times New Roman"/>
                <w:sz w:val="26"/>
                <w:szCs w:val="26"/>
              </w:rPr>
              <w:t>В отношении плательщиков-юридических лиц мера поддер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жки носит заявительный характер</w:t>
            </w:r>
          </w:p>
        </w:tc>
      </w:tr>
      <w:tr w:rsidR="00654E24" w:rsidRPr="009B0EA8" w:rsidTr="00CF4FED">
        <w:tc>
          <w:tcPr>
            <w:tcW w:w="9770" w:type="dxa"/>
            <w:gridSpan w:val="3"/>
          </w:tcPr>
          <w:p w:rsidR="00654E24" w:rsidRPr="009B0EA8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Установлена ставка единого налога на вмененный доход </w:t>
            </w:r>
          </w:p>
          <w:p w:rsidR="00654E24" w:rsidRPr="009B0EA8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2020 год в размере 10 процентов </w:t>
            </w:r>
          </w:p>
          <w:p w:rsidR="00654E24" w:rsidRPr="009B0EA8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EA8">
              <w:rPr>
                <w:rFonts w:ascii="Times New Roman" w:hAnsi="Times New Roman" w:cs="Times New Roman"/>
                <w:b/>
                <w:sz w:val="26"/>
                <w:szCs w:val="26"/>
              </w:rPr>
              <w:t>(решением Якутской городской Думы от 22.05.2020 года № РЯГД-16-3)</w:t>
            </w:r>
          </w:p>
        </w:tc>
      </w:tr>
      <w:tr w:rsidR="00CF4FED" w:rsidTr="00CF4FED">
        <w:trPr>
          <w:gridAfter w:val="1"/>
          <w:wAfter w:w="23" w:type="dxa"/>
        </w:trPr>
        <w:tc>
          <w:tcPr>
            <w:tcW w:w="5920" w:type="dxa"/>
          </w:tcPr>
          <w:p w:rsidR="00CF4FED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52A5">
              <w:rPr>
                <w:rFonts w:ascii="Times New Roman" w:hAnsi="Times New Roman" w:cs="Times New Roman"/>
                <w:sz w:val="28"/>
                <w:szCs w:val="28"/>
              </w:rPr>
              <w:t>алогоплательщик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52A5">
              <w:rPr>
                <w:rFonts w:ascii="Times New Roman" w:hAnsi="Times New Roman" w:cs="Times New Roman"/>
                <w:sz w:val="28"/>
                <w:szCs w:val="28"/>
              </w:rPr>
              <w:t>, основной вид деятельности которых является деятельность с ОКВЭД</w:t>
            </w:r>
            <w:proofErr w:type="gramStart"/>
            <w:r w:rsidRPr="00035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352A5">
              <w:rPr>
                <w:rFonts w:ascii="Times New Roman" w:hAnsi="Times New Roman" w:cs="Times New Roman"/>
                <w:sz w:val="28"/>
                <w:szCs w:val="28"/>
              </w:rPr>
              <w:t xml:space="preserve"> 49.3, 49.4, 93, 96.04, 55, 56, 95, 96.01, 96.02, 45.11.2, 45.32, 45.40.2, 47.19, 47.4, 47.5, 47.6, 47.7, 47.82, 47.89</w:t>
            </w:r>
          </w:p>
        </w:tc>
        <w:tc>
          <w:tcPr>
            <w:tcW w:w="3827" w:type="dxa"/>
          </w:tcPr>
          <w:p w:rsidR="00CF4FED" w:rsidRPr="00094426" w:rsidRDefault="00CF4FED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94426">
              <w:rPr>
                <w:rFonts w:ascii="Times New Roman" w:hAnsi="Times New Roman" w:cs="Times New Roman"/>
                <w:sz w:val="26"/>
                <w:szCs w:val="26"/>
              </w:rPr>
              <w:t>ера поддер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жки носит заявительный характер</w:t>
            </w:r>
          </w:p>
        </w:tc>
      </w:tr>
      <w:tr w:rsidR="00654E24" w:rsidRPr="009B0EA8" w:rsidTr="00CF4FED">
        <w:tc>
          <w:tcPr>
            <w:tcW w:w="9770" w:type="dxa"/>
            <w:gridSpan w:val="3"/>
          </w:tcPr>
          <w:p w:rsidR="00654E24" w:rsidRPr="00B23C15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C15">
              <w:rPr>
                <w:rFonts w:ascii="Times New Roman" w:hAnsi="Times New Roman" w:cs="Times New Roman"/>
                <w:b/>
                <w:sz w:val="26"/>
                <w:szCs w:val="26"/>
              </w:rPr>
              <w:t>7. Снижен размер арендных платежей за муниципальные нежилые</w:t>
            </w:r>
          </w:p>
          <w:p w:rsidR="00654E24" w:rsidRPr="00B23C15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C15">
              <w:rPr>
                <w:rFonts w:ascii="Times New Roman" w:hAnsi="Times New Roman" w:cs="Times New Roman"/>
                <w:b/>
                <w:sz w:val="26"/>
                <w:szCs w:val="26"/>
              </w:rPr>
              <w:t>помещения до фактически понесенных затрат</w:t>
            </w:r>
          </w:p>
          <w:p w:rsidR="00654E24" w:rsidRPr="00B23C15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C15">
              <w:rPr>
                <w:rFonts w:ascii="Times New Roman" w:hAnsi="Times New Roman" w:cs="Times New Roman"/>
                <w:b/>
                <w:sz w:val="26"/>
                <w:szCs w:val="26"/>
              </w:rPr>
              <w:t>на коммунальные платежи, налоги, иные обязательные платежи</w:t>
            </w:r>
          </w:p>
          <w:p w:rsidR="00654E24" w:rsidRPr="00B23C15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(распоряжение Окружной администрации </w:t>
            </w:r>
            <w:proofErr w:type="spellStart"/>
            <w:r w:rsidRPr="00B23C15">
              <w:rPr>
                <w:rFonts w:ascii="Times New Roman" w:hAnsi="Times New Roman" w:cs="Times New Roman"/>
                <w:b/>
                <w:sz w:val="26"/>
                <w:szCs w:val="26"/>
              </w:rPr>
              <w:t>г.Якутска</w:t>
            </w:r>
            <w:proofErr w:type="spellEnd"/>
          </w:p>
          <w:p w:rsidR="00654E24" w:rsidRPr="009B0EA8" w:rsidRDefault="00654E24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C15">
              <w:rPr>
                <w:rFonts w:ascii="Times New Roman" w:hAnsi="Times New Roman" w:cs="Times New Roman"/>
                <w:b/>
                <w:sz w:val="26"/>
                <w:szCs w:val="26"/>
              </w:rPr>
              <w:t>от 29.05.2020 года № 775р)</w:t>
            </w:r>
          </w:p>
        </w:tc>
      </w:tr>
      <w:tr w:rsidR="00CF4FED" w:rsidRPr="00C33EB7" w:rsidTr="00CF4FED">
        <w:trPr>
          <w:gridAfter w:val="1"/>
          <w:wAfter w:w="23" w:type="dxa"/>
        </w:trPr>
        <w:tc>
          <w:tcPr>
            <w:tcW w:w="5920" w:type="dxa"/>
          </w:tcPr>
          <w:p w:rsidR="00CF4FED" w:rsidRPr="00C33EB7" w:rsidRDefault="00CF4FED" w:rsidP="00966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EB7">
              <w:rPr>
                <w:rFonts w:ascii="Times New Roman" w:hAnsi="Times New Roman" w:cs="Times New Roman"/>
                <w:sz w:val="26"/>
                <w:szCs w:val="26"/>
              </w:rPr>
              <w:t>Субъекты малого и среднего предпринимательства, арендующие муниципальные</w:t>
            </w:r>
            <w:bookmarkStart w:id="0" w:name="_GoBack"/>
            <w:bookmarkEnd w:id="0"/>
            <w:r w:rsidRPr="00C33EB7">
              <w:rPr>
                <w:rFonts w:ascii="Times New Roman" w:hAnsi="Times New Roman" w:cs="Times New Roman"/>
                <w:sz w:val="26"/>
                <w:szCs w:val="26"/>
              </w:rPr>
              <w:t xml:space="preserve"> нежилые 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3EB7">
              <w:rPr>
                <w:rFonts w:ascii="Times New Roman" w:hAnsi="Times New Roman" w:cs="Times New Roman"/>
                <w:sz w:val="26"/>
                <w:szCs w:val="26"/>
              </w:rPr>
              <w:t xml:space="preserve"> за 2 квартал 2020 года</w:t>
            </w:r>
          </w:p>
        </w:tc>
        <w:tc>
          <w:tcPr>
            <w:tcW w:w="3827" w:type="dxa"/>
          </w:tcPr>
          <w:p w:rsidR="00CF4FED" w:rsidRPr="00C33EB7" w:rsidRDefault="00CF4FED" w:rsidP="00966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B7">
              <w:rPr>
                <w:rFonts w:ascii="Times New Roman" w:hAnsi="Times New Roman" w:cs="Times New Roman"/>
                <w:sz w:val="26"/>
                <w:szCs w:val="26"/>
              </w:rPr>
              <w:t>Мера поддержки предоставляется на основании заявления</w:t>
            </w:r>
          </w:p>
        </w:tc>
      </w:tr>
    </w:tbl>
    <w:p w:rsidR="00213F2F" w:rsidRPr="00E40C54" w:rsidRDefault="00213F2F" w:rsidP="00213F2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3F2F" w:rsidRPr="00E40C54" w:rsidRDefault="00213F2F" w:rsidP="0021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Pr="00E40C54">
        <w:rPr>
          <w:rFonts w:ascii="Times New Roman" w:hAnsi="Times New Roman"/>
          <w:sz w:val="28"/>
          <w:szCs w:val="28"/>
        </w:rPr>
        <w:t>ринятые меры финансовой поддержки субъектов предпринимательства по доходам, зачисляемым в местные бюджеты на уровне Республики Саха (Якутия):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098"/>
        <w:gridCol w:w="4672"/>
        <w:gridCol w:w="6"/>
      </w:tblGrid>
      <w:tr w:rsidR="00213F2F" w:rsidRPr="00E40C54" w:rsidTr="00D23609">
        <w:trPr>
          <w:gridAfter w:val="1"/>
          <w:wAfter w:w="6" w:type="dxa"/>
        </w:trPr>
        <w:tc>
          <w:tcPr>
            <w:tcW w:w="9770" w:type="dxa"/>
            <w:gridSpan w:val="2"/>
          </w:tcPr>
          <w:p w:rsidR="00213F2F" w:rsidRPr="00E40C54" w:rsidRDefault="00213F2F" w:rsidP="00D23609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C54">
              <w:rPr>
                <w:rFonts w:ascii="Times New Roman" w:hAnsi="Times New Roman"/>
                <w:b/>
                <w:sz w:val="26"/>
                <w:szCs w:val="26"/>
              </w:rPr>
              <w:t>Законом Республики Саха (Якутия) от 23 апреля 2020 года 2232-З № 375-</w:t>
            </w:r>
            <w:r w:rsidRPr="00E40C5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E40C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13F2F" w:rsidRPr="00E40C54" w:rsidRDefault="00213F2F" w:rsidP="00D23609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C54">
              <w:rPr>
                <w:rFonts w:ascii="Times New Roman" w:hAnsi="Times New Roman"/>
                <w:b/>
                <w:sz w:val="26"/>
                <w:szCs w:val="26"/>
              </w:rPr>
              <w:t xml:space="preserve">«О внесении изменений в Закон Республики Саха (Якутия) </w:t>
            </w:r>
          </w:p>
          <w:p w:rsidR="00213F2F" w:rsidRPr="00E40C54" w:rsidRDefault="00213F2F" w:rsidP="00D23609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C54">
              <w:rPr>
                <w:rFonts w:ascii="Times New Roman" w:hAnsi="Times New Roman"/>
                <w:b/>
                <w:sz w:val="26"/>
                <w:szCs w:val="26"/>
              </w:rPr>
              <w:t>«О налоговой политике Республики Саха (Якутия)»</w:t>
            </w:r>
          </w:p>
        </w:tc>
      </w:tr>
      <w:tr w:rsidR="00213F2F" w:rsidRPr="00E40C54" w:rsidTr="00D23609">
        <w:trPr>
          <w:trHeight w:val="3818"/>
        </w:trPr>
        <w:tc>
          <w:tcPr>
            <w:tcW w:w="5098" w:type="dxa"/>
          </w:tcPr>
          <w:p w:rsidR="00213F2F" w:rsidRPr="00E40C54" w:rsidRDefault="00213F2F" w:rsidP="00D2360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0C54">
              <w:rPr>
                <w:rFonts w:ascii="Times New Roman" w:hAnsi="Times New Roman"/>
                <w:sz w:val="26"/>
                <w:szCs w:val="26"/>
              </w:rPr>
              <w:t>1. Снижение ставки налога по упрощенной системе налогообложения на 2020 год с объектом налогообложения «доходы» до 1 процента, с объектом «доходы минус расходы» до 5% для субъектов малого и среднего предпринимательства, занятых в сфере туризма, предоставления гостиничных услуг, общественного питания, здравоохранения, образования, культуры, индустрии развлечений, физкультуры и спорта, бытовых услуг</w:t>
            </w:r>
          </w:p>
        </w:tc>
        <w:tc>
          <w:tcPr>
            <w:tcW w:w="4678" w:type="dxa"/>
            <w:gridSpan w:val="2"/>
          </w:tcPr>
          <w:p w:rsidR="00213F2F" w:rsidRPr="00E40C54" w:rsidRDefault="00213F2F" w:rsidP="00D23609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0C54">
              <w:rPr>
                <w:rFonts w:ascii="Times New Roman" w:hAnsi="Times New Roman"/>
                <w:sz w:val="26"/>
                <w:szCs w:val="26"/>
              </w:rPr>
              <w:t xml:space="preserve">Данная мера поддержки охватывает около 530 налогоплательщиков УСН «доходы» на сумму 80,7 </w:t>
            </w:r>
            <w:proofErr w:type="spellStart"/>
            <w:r w:rsidRPr="00E40C54">
              <w:rPr>
                <w:rFonts w:ascii="Times New Roman" w:hAnsi="Times New Roman"/>
                <w:sz w:val="26"/>
                <w:szCs w:val="26"/>
              </w:rPr>
              <w:t>млн.руб</w:t>
            </w:r>
            <w:proofErr w:type="spellEnd"/>
            <w:r w:rsidRPr="00E40C54">
              <w:rPr>
                <w:rFonts w:ascii="Times New Roman" w:hAnsi="Times New Roman"/>
                <w:sz w:val="26"/>
                <w:szCs w:val="26"/>
              </w:rPr>
              <w:t xml:space="preserve">., около 2450 налогоплательщиков УСН «доходы минус расходы» на сумму 135,4 </w:t>
            </w:r>
            <w:proofErr w:type="spellStart"/>
            <w:r w:rsidRPr="00E40C54">
              <w:rPr>
                <w:rFonts w:ascii="Times New Roman" w:hAnsi="Times New Roman"/>
                <w:sz w:val="26"/>
                <w:szCs w:val="26"/>
              </w:rPr>
              <w:t>млн.руб</w:t>
            </w:r>
            <w:proofErr w:type="spellEnd"/>
            <w:r w:rsidRPr="00E40C5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213F2F" w:rsidRPr="00E40C54" w:rsidRDefault="00213F2F" w:rsidP="00D23609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0C54">
              <w:rPr>
                <w:rFonts w:ascii="Times New Roman" w:hAnsi="Times New Roman"/>
                <w:sz w:val="26"/>
                <w:szCs w:val="26"/>
              </w:rPr>
              <w:t>Итого около 2 980 субъектов предпринимательства (более 20 % от общего количества плательщиков УСН) на сумму 216,1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13F2F" w:rsidRPr="00E40C54" w:rsidTr="00D23609">
        <w:tc>
          <w:tcPr>
            <w:tcW w:w="5098" w:type="dxa"/>
          </w:tcPr>
          <w:p w:rsidR="00213F2F" w:rsidRPr="00E40C54" w:rsidRDefault="00213F2F" w:rsidP="00D2360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0C54">
              <w:rPr>
                <w:rFonts w:ascii="Times New Roman" w:hAnsi="Times New Roman"/>
                <w:sz w:val="26"/>
                <w:szCs w:val="26"/>
              </w:rPr>
              <w:t xml:space="preserve">2. Снижение размера потенциально возможного к получению индивидуальным </w:t>
            </w:r>
            <w:r w:rsidRPr="00E40C54"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предпринимателем годового дохода на 2020 год по патентной системе налогообложения</w:t>
            </w:r>
          </w:p>
        </w:tc>
        <w:tc>
          <w:tcPr>
            <w:tcW w:w="4678" w:type="dxa"/>
            <w:gridSpan w:val="2"/>
          </w:tcPr>
          <w:p w:rsidR="00213F2F" w:rsidRPr="00E40C54" w:rsidRDefault="00213F2F" w:rsidP="00D23609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0C5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Данная мера поддержки охватывает около 2700 индивидуальных </w:t>
            </w:r>
            <w:r w:rsidRPr="00E40C5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предпринимателей на сумму 9,8 </w:t>
            </w:r>
            <w:proofErr w:type="spellStart"/>
            <w:r w:rsidRPr="00E40C54">
              <w:rPr>
                <w:rFonts w:ascii="Times New Roman" w:hAnsi="Times New Roman"/>
                <w:sz w:val="26"/>
                <w:szCs w:val="26"/>
              </w:rPr>
              <w:t>млн.руб</w:t>
            </w:r>
            <w:proofErr w:type="spellEnd"/>
            <w:r w:rsidRPr="00E40C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54E24" w:rsidRPr="00551F68" w:rsidRDefault="00654E24" w:rsidP="00654E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49CB" w:rsidRDefault="00551F68" w:rsidP="00213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F68">
        <w:rPr>
          <w:rFonts w:ascii="Times New Roman" w:hAnsi="Times New Roman" w:cs="Times New Roman"/>
          <w:sz w:val="26"/>
          <w:szCs w:val="26"/>
        </w:rPr>
        <w:tab/>
      </w:r>
    </w:p>
    <w:p w:rsidR="006A49CB" w:rsidRDefault="006A49CB" w:rsidP="0003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CB" w:rsidRDefault="006A49CB" w:rsidP="0003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CB" w:rsidRDefault="006A49CB" w:rsidP="0003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CB" w:rsidRDefault="006A49CB" w:rsidP="0003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CB" w:rsidRDefault="006A49CB" w:rsidP="0003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CB" w:rsidRDefault="006A49CB" w:rsidP="0003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CB" w:rsidRDefault="006A49CB" w:rsidP="0003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CB" w:rsidRDefault="006A49CB" w:rsidP="0003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CB" w:rsidRDefault="006A49CB" w:rsidP="0003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AD0" w:rsidRPr="006A49CB" w:rsidRDefault="00E05AD0" w:rsidP="00032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05AD0" w:rsidRPr="006A49CB" w:rsidSect="00D862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FB0"/>
    <w:multiLevelType w:val="hybridMultilevel"/>
    <w:tmpl w:val="B61840EA"/>
    <w:lvl w:ilvl="0" w:tplc="63E0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2A74CE"/>
    <w:multiLevelType w:val="hybridMultilevel"/>
    <w:tmpl w:val="5150D530"/>
    <w:lvl w:ilvl="0" w:tplc="6136A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76"/>
    <w:rsid w:val="00032620"/>
    <w:rsid w:val="0014416E"/>
    <w:rsid w:val="00213F2F"/>
    <w:rsid w:val="002275D4"/>
    <w:rsid w:val="002653B2"/>
    <w:rsid w:val="002D5109"/>
    <w:rsid w:val="00307D8D"/>
    <w:rsid w:val="00343BFB"/>
    <w:rsid w:val="003A4D47"/>
    <w:rsid w:val="003C366D"/>
    <w:rsid w:val="003F6E29"/>
    <w:rsid w:val="004E0928"/>
    <w:rsid w:val="005277FD"/>
    <w:rsid w:val="00537228"/>
    <w:rsid w:val="00551F68"/>
    <w:rsid w:val="00562CFC"/>
    <w:rsid w:val="00610805"/>
    <w:rsid w:val="006241BE"/>
    <w:rsid w:val="00654E24"/>
    <w:rsid w:val="006A49CB"/>
    <w:rsid w:val="006A7B12"/>
    <w:rsid w:val="0079749C"/>
    <w:rsid w:val="00877423"/>
    <w:rsid w:val="008F1851"/>
    <w:rsid w:val="008F556A"/>
    <w:rsid w:val="009A1EBF"/>
    <w:rsid w:val="00A91178"/>
    <w:rsid w:val="00AD550E"/>
    <w:rsid w:val="00AE5E14"/>
    <w:rsid w:val="00B410BC"/>
    <w:rsid w:val="00BB6848"/>
    <w:rsid w:val="00C202B6"/>
    <w:rsid w:val="00C40084"/>
    <w:rsid w:val="00CE2219"/>
    <w:rsid w:val="00CF4FED"/>
    <w:rsid w:val="00D86261"/>
    <w:rsid w:val="00E05AD0"/>
    <w:rsid w:val="00E06DEC"/>
    <w:rsid w:val="00E17ED3"/>
    <w:rsid w:val="00EB3455"/>
    <w:rsid w:val="00F00C37"/>
    <w:rsid w:val="00F2513D"/>
    <w:rsid w:val="00F61C76"/>
    <w:rsid w:val="00F64FF0"/>
    <w:rsid w:val="00FD3E22"/>
    <w:rsid w:val="00FD5F86"/>
    <w:rsid w:val="00FD6F0A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37"/>
    <w:pPr>
      <w:ind w:left="720"/>
      <w:contextualSpacing/>
    </w:pPr>
  </w:style>
  <w:style w:type="table" w:styleId="a4">
    <w:name w:val="Table Grid"/>
    <w:basedOn w:val="a1"/>
    <w:uiPriority w:val="39"/>
    <w:rsid w:val="0065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37"/>
    <w:pPr>
      <w:ind w:left="720"/>
      <w:contextualSpacing/>
    </w:pPr>
  </w:style>
  <w:style w:type="table" w:styleId="a4">
    <w:name w:val="Table Grid"/>
    <w:basedOn w:val="a1"/>
    <w:uiPriority w:val="39"/>
    <w:rsid w:val="0065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 М. Николаева</dc:creator>
  <cp:lastModifiedBy>User</cp:lastModifiedBy>
  <cp:revision>2</cp:revision>
  <cp:lastPrinted>2020-06-02T07:05:00Z</cp:lastPrinted>
  <dcterms:created xsi:type="dcterms:W3CDTF">2020-06-04T00:45:00Z</dcterms:created>
  <dcterms:modified xsi:type="dcterms:W3CDTF">2020-06-04T00:45:00Z</dcterms:modified>
</cp:coreProperties>
</file>